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B" w:rsidRDefault="000E37CB" w:rsidP="009A1D6A">
      <w:pPr>
        <w:tabs>
          <w:tab w:val="left" w:pos="9356"/>
        </w:tabs>
        <w:rPr>
          <w:rFonts w:eastAsiaTheme="minorEastAsia"/>
          <w:noProof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26"/>
        <w:gridCol w:w="1934"/>
      </w:tblGrid>
      <w:tr w:rsidR="00DE1F0E" w:rsidTr="00DE1F0E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1F0E" w:rsidRDefault="00DE1F0E">
            <w:pPr>
              <w:spacing w:line="360" w:lineRule="atLeast"/>
              <w:rPr>
                <w:rFonts w:ascii="Myriad Pro" w:hAnsi="Myriad Pro"/>
                <w:b/>
                <w:bCs/>
                <w:color w:val="000000"/>
                <w:sz w:val="28"/>
                <w:szCs w:val="28"/>
              </w:rPr>
            </w:pPr>
          </w:p>
          <w:p w:rsidR="00DE1F0E" w:rsidRDefault="00DE1F0E">
            <w:pPr>
              <w:spacing w:line="360" w:lineRule="atLeast"/>
              <w:rPr>
                <w:rFonts w:ascii="Myriad Pro" w:hAnsi="Myriad Pro"/>
                <w:b/>
                <w:bCs/>
                <w:color w:val="000000"/>
                <w:sz w:val="28"/>
                <w:szCs w:val="28"/>
              </w:rPr>
            </w:pPr>
          </w:p>
          <w:p w:rsidR="00DE1F0E" w:rsidRDefault="00DE1F0E">
            <w:pPr>
              <w:spacing w:line="360" w:lineRule="atLeast"/>
              <w:rPr>
                <w:rFonts w:ascii="Myriad Pro" w:hAnsi="Myriad Pro"/>
                <w:b/>
                <w:bCs/>
                <w:color w:val="000000"/>
                <w:sz w:val="28"/>
                <w:szCs w:val="28"/>
              </w:rPr>
            </w:pPr>
          </w:p>
          <w:p w:rsidR="00DE1F0E" w:rsidRDefault="00DE1F0E">
            <w:pPr>
              <w:spacing w:line="360" w:lineRule="atLeast"/>
              <w:rPr>
                <w:rFonts w:ascii="Myriad Pro" w:hAnsi="Myriad Pro"/>
                <w:b/>
                <w:bCs/>
                <w:color w:val="000000"/>
                <w:sz w:val="28"/>
                <w:szCs w:val="28"/>
              </w:rPr>
            </w:pPr>
          </w:p>
          <w:p w:rsidR="00DE1F0E" w:rsidRDefault="00DE1F0E" w:rsidP="00DE1F0E">
            <w:pPr>
              <w:spacing w:line="360" w:lineRule="atLeast"/>
              <w:rPr>
                <w:rFonts w:ascii="Myriad Pro" w:hAnsi="Myriad Pro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Ref: 0201              </w:t>
            </w:r>
            <w:r>
              <w:rPr>
                <w:rFonts w:ascii="Myriad Pro" w:hAnsi="Myriad Pro"/>
                <w:b/>
                <w:bCs/>
                <w:color w:val="000000"/>
                <w:sz w:val="28"/>
                <w:szCs w:val="28"/>
              </w:rPr>
              <w:t>™ Protease Assay</w:t>
            </w:r>
          </w:p>
        </w:tc>
      </w:tr>
      <w:tr w:rsidR="00DE1F0E" w:rsidTr="00DE1F0E">
        <w:trPr>
          <w:tblCellSpacing w:w="0" w:type="dxa"/>
          <w:jc w:val="center"/>
        </w:trPr>
        <w:tc>
          <w:tcPr>
            <w:tcW w:w="2775" w:type="dxa"/>
            <w:vAlign w:val="center"/>
            <w:hideMark/>
          </w:tcPr>
          <w:p w:rsidR="00DE1F0E" w:rsidRDefault="00DE1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762125" cy="1323975"/>
                  <wp:effectExtent l="19050" t="0" r="9525" b="0"/>
                  <wp:docPr id="1" name="Picture 11" descr="PDQ™ Protease Assay: Detects protease activity in aqueous s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DQ™ Protease Assay: Detects protease activity in aqueous s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E1F0E" w:rsidRDefault="00DE1F0E" w:rsidP="00DE1F0E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Detection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nanogram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quantities </w:t>
            </w:r>
          </w:p>
          <w:p w:rsidR="00DE1F0E" w:rsidRDefault="00DE1F0E" w:rsidP="00DE1F0E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Quantitative or Qualitative Applications </w:t>
            </w:r>
          </w:p>
          <w:p w:rsidR="00DE1F0E" w:rsidRDefault="00DE1F0E" w:rsidP="00DE1F0E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Centrifugation Necessary </w:t>
            </w:r>
          </w:p>
        </w:tc>
      </w:tr>
      <w:tr w:rsidR="00DE1F0E" w:rsidTr="00DE1F0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285" w:type="dxa"/>
              <w:left w:w="0" w:type="dxa"/>
              <w:bottom w:w="0" w:type="dxa"/>
              <w:right w:w="143" w:type="dxa"/>
            </w:tcMar>
            <w:hideMark/>
          </w:tcPr>
          <w:p w:rsidR="00DE1F0E" w:rsidRDefault="00DE1F0E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PDQ™ Protease Assay is a unique colorimetric assay used to detect protease activity in aqueous samples. The proprietary substrate responds to a wide range of proteases including serine,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metallo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aspartate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cysteine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proteases such 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collagenase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proteinase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papain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pepsin,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bromelin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ficin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chymotrypsin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PDQ™ can be used with just a few simple steps to measure protease activity and requires no centrifugation. The substrate is a cross-linked matrix containing protein substrate and a dye-protein conjugate. Protease activity is detected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spectrophotometrically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increasing optical density proportional to increasing enzyme activity and can detect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nanogram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quantities. Each kit is supplied with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trypsin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solution for generating standard curves (BAEE equivalent units). PDQ™ is supplied in 48 ready-to-use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plasict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vials.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The graph on the right shows the time-course degradation of the PDQ™ Protease Assay substrate 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papain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chymotrypsin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proteinase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K,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collagenase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Duplicate reactions were incubated at 37°C and 0.2 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NaOH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was added to the vials to stop the reaction at the indicated times. The absorbance at 450nm was measured by transferring the reaction mixture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spectrophotometric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cuvettes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results of this experiment show the increased absorption over time due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protelytic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degradation of the substrate, and the ability of the assay to detect a wide range of proteases. </w:t>
            </w:r>
          </w:p>
        </w:tc>
      </w:tr>
    </w:tbl>
    <w:p w:rsidR="00005000" w:rsidRPr="000E37CB" w:rsidRDefault="00005000" w:rsidP="00DE1F0E">
      <w:pPr>
        <w:tabs>
          <w:tab w:val="left" w:pos="9356"/>
        </w:tabs>
        <w:rPr>
          <w:rFonts w:ascii="Verdana" w:hAnsi="Verdana"/>
        </w:rPr>
      </w:pPr>
    </w:p>
    <w:sectPr w:rsidR="00005000" w:rsidRPr="000E37CB" w:rsidSect="00962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0E" w:rsidRDefault="00DE1F0E" w:rsidP="00607E7C">
      <w:r>
        <w:separator/>
      </w:r>
    </w:p>
  </w:endnote>
  <w:endnote w:type="continuationSeparator" w:id="1">
    <w:p w:rsidR="00DE1F0E" w:rsidRDefault="00DE1F0E" w:rsidP="0060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04" w:rsidRDefault="00AB0F04">
    <w:pPr>
      <w:pStyle w:val="Footer"/>
    </w:pPr>
  </w:p>
  <w:tbl>
    <w:tblPr>
      <w:tblStyle w:val="TableGrid"/>
      <w:tblpPr w:leftFromText="180" w:rightFromText="180" w:vertAnchor="text" w:horzAnchor="margin" w:tblpXSpec="center" w:tblpY="2777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37"/>
      <w:gridCol w:w="3067"/>
      <w:gridCol w:w="2409"/>
      <w:gridCol w:w="2410"/>
    </w:tblGrid>
    <w:tr w:rsidR="00AB0F04" w:rsidTr="009627B5">
      <w:tc>
        <w:tcPr>
          <w:tcW w:w="3137" w:type="dxa"/>
        </w:tcPr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  <w:t>Gentaur Europe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Avenue de l’Armée 68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B-1040 Brussels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Tel: +32 16 58 90 45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Fax: +32 16 50 90 45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info@gentaur.com</w:t>
          </w:r>
        </w:p>
        <w:p w:rsidR="00AB0F04" w:rsidRDefault="00DE1AB2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DE1AB2">
            <w:rPr>
              <w:rFonts w:ascii="Tahoma" w:hAnsi="Tahoma" w:cs="Tahoma"/>
              <w:sz w:val="16"/>
              <w:szCs w:val="16"/>
              <w:lang w:val="nl-BE"/>
            </w:rPr>
            <w:t>www.gentaur.com</w:t>
          </w:r>
        </w:p>
        <w:p w:rsidR="00DE1AB2" w:rsidRPr="00607E7C" w:rsidRDefault="00DE1AB2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</w:p>
      </w:tc>
      <w:tc>
        <w:tcPr>
          <w:tcW w:w="3067" w:type="dxa"/>
        </w:tcPr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</w:rPr>
          </w:pPr>
          <w:r w:rsidRPr="00616AEB">
            <w:rPr>
              <w:rFonts w:ascii="Tahoma" w:hAnsi="Tahoma" w:cs="Tahoma"/>
              <w:b/>
              <w:bCs/>
              <w:color w:val="0033CC"/>
              <w:sz w:val="16"/>
              <w:szCs w:val="16"/>
            </w:rPr>
            <w:t>Gentaur Germany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 xml:space="preserve">IME, </w:t>
          </w:r>
          <w:proofErr w:type="spellStart"/>
          <w:r w:rsidRPr="00616AEB">
            <w:rPr>
              <w:rFonts w:ascii="Tahoma" w:hAnsi="Tahoma" w:cs="Tahoma"/>
              <w:sz w:val="16"/>
              <w:szCs w:val="16"/>
            </w:rPr>
            <w:t>Forckenbeckstrasse</w:t>
          </w:r>
          <w:proofErr w:type="spellEnd"/>
          <w:r w:rsidRPr="00616AEB">
            <w:rPr>
              <w:rFonts w:ascii="Tahoma" w:hAnsi="Tahoma" w:cs="Tahoma"/>
              <w:sz w:val="16"/>
              <w:szCs w:val="16"/>
            </w:rPr>
            <w:t xml:space="preserve"> 6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D-52074 Aachen Germany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0241 6085 13140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0241 6085 33033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info@bioprice.com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www.bioprice.com</w:t>
          </w:r>
        </w:p>
      </w:tc>
      <w:tc>
        <w:tcPr>
          <w:tcW w:w="2409" w:type="dxa"/>
        </w:tcPr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  <w:t>Gentaur France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9, Rue Lagrange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75005 Paris, France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+33(0)143 25 0150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+33(0)143 25 0160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info@clonagen.com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www.clonagen.com</w:t>
          </w:r>
        </w:p>
      </w:tc>
      <w:tc>
        <w:tcPr>
          <w:tcW w:w="2410" w:type="dxa"/>
        </w:tcPr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</w:rPr>
          </w:pPr>
          <w:r w:rsidRPr="00616AEB">
            <w:rPr>
              <w:rFonts w:ascii="Tahoma" w:hAnsi="Tahoma" w:cs="Tahoma"/>
              <w:b/>
              <w:bCs/>
              <w:color w:val="0033CC"/>
              <w:sz w:val="16"/>
              <w:szCs w:val="16"/>
            </w:rPr>
            <w:t>Gentaur Italy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02 36 00 65 93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02 36 00 65 94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info@labprice.com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www.labprice.com</w:t>
          </w:r>
        </w:p>
      </w:tc>
    </w:tr>
  </w:tbl>
  <w:p w:rsidR="00AB0F04" w:rsidRDefault="00AB0F04">
    <w:pPr>
      <w:pStyle w:val="Footer"/>
    </w:pPr>
  </w:p>
  <w:p w:rsidR="00AB0F04" w:rsidRDefault="00AB0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0E" w:rsidRDefault="00DE1F0E" w:rsidP="00607E7C">
      <w:r>
        <w:separator/>
      </w:r>
    </w:p>
  </w:footnote>
  <w:footnote w:type="continuationSeparator" w:id="1">
    <w:p w:rsidR="00DE1F0E" w:rsidRDefault="00DE1F0E" w:rsidP="0060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04" w:rsidRDefault="001624B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75pt;margin-top:-3.85pt;width:181.4pt;height:24.85pt;z-index:251662336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1;mso-column-margin:2mm" inset="2.88pt,2.88pt,2.88pt,2.88pt">
            <w:txbxContent>
              <w:p w:rsidR="00AB0F04" w:rsidRDefault="00AB0F04" w:rsidP="00903899">
                <w:pPr>
                  <w:widowControl w:val="0"/>
                  <w:jc w:val="center"/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  <w:t>www.clonagen.com</w:t>
                </w:r>
              </w:p>
            </w:txbxContent>
          </v:textbox>
        </v:shape>
      </w:pict>
    </w:r>
    <w:r w:rsidR="00AB0F04" w:rsidRPr="009627B5">
      <w:rPr>
        <w:noProof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-59055</wp:posOffset>
          </wp:positionV>
          <wp:extent cx="1619250" cy="1257300"/>
          <wp:effectExtent l="19050" t="0" r="0" b="0"/>
          <wp:wrapNone/>
          <wp:docPr id="14" name="Picture 78" descr="Gentaur Bi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Gentaur Big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57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B0F04" w:rsidRDefault="001624B2">
    <w:pPr>
      <w:pStyle w:val="Header"/>
    </w:pPr>
    <w:r>
      <w:rPr>
        <w:noProof/>
      </w:rPr>
      <w:pict>
        <v:shape id="_x0000_s2053" type="#_x0000_t202" style="position:absolute;margin-left:307.65pt;margin-top:-17.95pt;width:195.5pt;height:25.2pt;z-index:251663360;visibility:visible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AB0F04" w:rsidRDefault="00AB0F04" w:rsidP="00903899">
                <w:pPr>
                  <w:widowControl w:val="0"/>
                  <w:jc w:val="center"/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  <w:t>www.bioxys.com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17.3pt;margin-top:13.85pt;width:175.75pt;height:25.5pt;z-index:251661312;mso-wrap-distance-left:2.88pt;mso-wrap-distance-top:2.88pt;mso-wrap-distance-right:2.88pt;mso-wrap-distance-bottom:2.88pt" fillcolor="aqua" strokecolor="#03c" o:cliptowrap="t">
          <v:fill opacity="19661f"/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868686"/>
          <v:textpath style="font-family:&quot;Tahoma&quot;;font-size:16pt;font-weight:bold;v-text-kern:t" trim="t" fitpath="t" string="www.gentaur.com"/>
        </v:shape>
      </w:pict>
    </w:r>
    <w:r>
      <w:rPr>
        <w:noProof/>
      </w:rPr>
      <w:pict>
        <v:rect id="_x0000_s2049" style="position:absolute;margin-left:-1.75pt;margin-top:-15.35pt;width:510.15pt;height:65.2pt;z-index:251660288;mso-wrap-distance-left:2.88pt;mso-wrap-distance-top:2.88pt;mso-wrap-distance-right:2.88pt;mso-wrap-distance-bottom:2.88pt" filled="f" stroked="f" strokecolor="black [0]" insetpen="t" o:cliptowrap="t">
          <v:stroke>
            <o:left v:ext="view" color="black [0]" joinstyle="miter" insetpen="t"/>
            <o:top v:ext="view" color="black [0]" joinstyle="miter" insetpen="t"/>
            <o:right v:ext="view" color="black [0]" joinstyle="miter" insetpen="t"/>
            <o:bottom v:ext="view" color="#03c" weight="1pt" joinstyle="miter" insetpen="t" on="t"/>
            <o:column v:ext="view" color="black [0]"/>
          </v:stroke>
          <v:shadow color="#ccc"/>
          <v:textbox inset="2.88pt,2.88pt,2.88pt,2.88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DD0"/>
    <w:multiLevelType w:val="hybridMultilevel"/>
    <w:tmpl w:val="039A66D2"/>
    <w:lvl w:ilvl="0" w:tplc="A8DA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1CB8"/>
    <w:multiLevelType w:val="multilevel"/>
    <w:tmpl w:val="0BF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 w:val="00005000"/>
    <w:rsid w:val="00052939"/>
    <w:rsid w:val="000E37CB"/>
    <w:rsid w:val="000F1F99"/>
    <w:rsid w:val="001624B2"/>
    <w:rsid w:val="001710B0"/>
    <w:rsid w:val="001C3DE5"/>
    <w:rsid w:val="001C75FC"/>
    <w:rsid w:val="001D03DA"/>
    <w:rsid w:val="0025193A"/>
    <w:rsid w:val="0025469C"/>
    <w:rsid w:val="00295C4B"/>
    <w:rsid w:val="003118E9"/>
    <w:rsid w:val="00320B5B"/>
    <w:rsid w:val="0033158E"/>
    <w:rsid w:val="0034720B"/>
    <w:rsid w:val="00363D12"/>
    <w:rsid w:val="003A403B"/>
    <w:rsid w:val="003F7A74"/>
    <w:rsid w:val="004443A0"/>
    <w:rsid w:val="00445543"/>
    <w:rsid w:val="0046627E"/>
    <w:rsid w:val="004B16E1"/>
    <w:rsid w:val="004D6D7C"/>
    <w:rsid w:val="004D726C"/>
    <w:rsid w:val="00516CD8"/>
    <w:rsid w:val="00577891"/>
    <w:rsid w:val="005B574E"/>
    <w:rsid w:val="005C0B5D"/>
    <w:rsid w:val="00605F1E"/>
    <w:rsid w:val="00607E7C"/>
    <w:rsid w:val="00616AEB"/>
    <w:rsid w:val="00631C7E"/>
    <w:rsid w:val="006366B1"/>
    <w:rsid w:val="006542D5"/>
    <w:rsid w:val="00693928"/>
    <w:rsid w:val="00697F6D"/>
    <w:rsid w:val="006D6B4F"/>
    <w:rsid w:val="00707048"/>
    <w:rsid w:val="00716AA5"/>
    <w:rsid w:val="00744781"/>
    <w:rsid w:val="0078236A"/>
    <w:rsid w:val="007851BA"/>
    <w:rsid w:val="007A1F60"/>
    <w:rsid w:val="007D0A16"/>
    <w:rsid w:val="007E44E3"/>
    <w:rsid w:val="007F3718"/>
    <w:rsid w:val="00806666"/>
    <w:rsid w:val="00810396"/>
    <w:rsid w:val="00832A92"/>
    <w:rsid w:val="00846DE8"/>
    <w:rsid w:val="00853284"/>
    <w:rsid w:val="00856CB9"/>
    <w:rsid w:val="008603DF"/>
    <w:rsid w:val="008A2C02"/>
    <w:rsid w:val="008F2458"/>
    <w:rsid w:val="00903899"/>
    <w:rsid w:val="00904B25"/>
    <w:rsid w:val="00914058"/>
    <w:rsid w:val="00935878"/>
    <w:rsid w:val="009627B5"/>
    <w:rsid w:val="00981A6A"/>
    <w:rsid w:val="009A0B47"/>
    <w:rsid w:val="009A1D6A"/>
    <w:rsid w:val="009C461B"/>
    <w:rsid w:val="009E2628"/>
    <w:rsid w:val="00A20D13"/>
    <w:rsid w:val="00A43493"/>
    <w:rsid w:val="00A66CF3"/>
    <w:rsid w:val="00A73B41"/>
    <w:rsid w:val="00AB0F04"/>
    <w:rsid w:val="00AB6085"/>
    <w:rsid w:val="00B618F9"/>
    <w:rsid w:val="00B73A1C"/>
    <w:rsid w:val="00BF4BA4"/>
    <w:rsid w:val="00C16DAE"/>
    <w:rsid w:val="00C408D2"/>
    <w:rsid w:val="00C530E5"/>
    <w:rsid w:val="00C65320"/>
    <w:rsid w:val="00C672E7"/>
    <w:rsid w:val="00C83F97"/>
    <w:rsid w:val="00C91F20"/>
    <w:rsid w:val="00D0101D"/>
    <w:rsid w:val="00D05A64"/>
    <w:rsid w:val="00D95556"/>
    <w:rsid w:val="00DA29AB"/>
    <w:rsid w:val="00DE1AB2"/>
    <w:rsid w:val="00DE1F0E"/>
    <w:rsid w:val="00E66505"/>
    <w:rsid w:val="00E72FCC"/>
    <w:rsid w:val="00E814B7"/>
    <w:rsid w:val="00EB6892"/>
    <w:rsid w:val="00ED63A8"/>
    <w:rsid w:val="00EE76E1"/>
    <w:rsid w:val="00EE7D5A"/>
    <w:rsid w:val="00F51FCC"/>
    <w:rsid w:val="00F607DB"/>
    <w:rsid w:val="00F7121E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F0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F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F9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396"/>
    <w:rPr>
      <w:color w:val="4682B4"/>
      <w:u w:val="single"/>
    </w:rPr>
  </w:style>
  <w:style w:type="paragraph" w:styleId="NormalWeb">
    <w:name w:val="Normal (Web)"/>
    <w:basedOn w:val="Normal"/>
    <w:uiPriority w:val="99"/>
    <w:unhideWhenUsed/>
    <w:rsid w:val="0081039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6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7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7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607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7C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gif@01C902DA.20E4A03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eline\divers\Let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5E2-B45D-473D-91B7-F30C06E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1</TotalTime>
  <Pages>1</Pages>
  <Words>228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</cp:revision>
  <dcterms:created xsi:type="dcterms:W3CDTF">2008-08-25T09:19:00Z</dcterms:created>
  <dcterms:modified xsi:type="dcterms:W3CDTF">2008-08-25T09:20:00Z</dcterms:modified>
</cp:coreProperties>
</file>