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B" w:rsidRDefault="000E37CB" w:rsidP="009A1D6A">
      <w:pPr>
        <w:tabs>
          <w:tab w:val="left" w:pos="9356"/>
        </w:tabs>
        <w:rPr>
          <w:rFonts w:eastAsiaTheme="minorEastAsia"/>
          <w:noProof/>
        </w:rPr>
      </w:pPr>
    </w:p>
    <w:p w:rsidR="002006D3" w:rsidRDefault="002006D3" w:rsidP="002006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kern w:val="0"/>
        </w:rPr>
      </w:pPr>
    </w:p>
    <w:p w:rsidR="002006D3" w:rsidRDefault="002006D3" w:rsidP="002006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kern w:val="0"/>
        </w:rPr>
      </w:pPr>
    </w:p>
    <w:p w:rsidR="002006D3" w:rsidRDefault="002006D3" w:rsidP="002006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kern w:val="0"/>
        </w:rPr>
      </w:pPr>
    </w:p>
    <w:p w:rsidR="002006D3" w:rsidRDefault="002006D3" w:rsidP="002006D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auto"/>
          <w:kern w:val="0"/>
        </w:rPr>
      </w:pPr>
    </w:p>
    <w:p w:rsidR="002006D3" w:rsidRPr="002006D3" w:rsidRDefault="002006D3" w:rsidP="002006D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color w:val="auto"/>
          <w:kern w:val="0"/>
          <w:sz w:val="22"/>
          <w:szCs w:val="22"/>
        </w:rPr>
      </w:pPr>
      <w:r w:rsidRPr="002006D3">
        <w:rPr>
          <w:rFonts w:ascii="Verdana" w:hAnsi="Verdana" w:cs="Verdana"/>
          <w:color w:val="auto"/>
          <w:kern w:val="0"/>
          <w:sz w:val="22"/>
          <w:szCs w:val="22"/>
        </w:rPr>
        <w:t>40-831-</w:t>
      </w:r>
      <w:proofErr w:type="gramStart"/>
      <w:r w:rsidRPr="002006D3">
        <w:rPr>
          <w:rFonts w:ascii="Verdana" w:hAnsi="Verdana" w:cs="Verdana"/>
          <w:color w:val="auto"/>
          <w:kern w:val="0"/>
          <w:sz w:val="22"/>
          <w:szCs w:val="22"/>
        </w:rPr>
        <w:t>160019  -</w:t>
      </w:r>
      <w:proofErr w:type="gramEnd"/>
      <w:r w:rsidRPr="002006D3">
        <w:rPr>
          <w:rFonts w:ascii="Verdana" w:hAnsi="Verdana" w:cs="Verdana"/>
          <w:color w:val="auto"/>
          <w:kern w:val="0"/>
          <w:sz w:val="22"/>
          <w:szCs w:val="22"/>
        </w:rPr>
        <w:t xml:space="preserve"> </w:t>
      </w:r>
      <w:r w:rsidRPr="002006D3">
        <w:rPr>
          <w:rFonts w:ascii="Verdana" w:hAnsi="Verdana" w:cs="Arial-BoldMT"/>
          <w:b/>
          <w:bCs/>
          <w:color w:val="auto"/>
          <w:kern w:val="0"/>
          <w:sz w:val="22"/>
          <w:szCs w:val="22"/>
        </w:rPr>
        <w:t>In situ Apoptosis Detection Kit</w:t>
      </w:r>
    </w:p>
    <w:p w:rsidR="002006D3" w:rsidRPr="002006D3" w:rsidRDefault="002006D3" w:rsidP="002006D3">
      <w:pPr>
        <w:autoSpaceDE w:val="0"/>
        <w:autoSpaceDN w:val="0"/>
        <w:adjustRightInd w:val="0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1. Description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Apoptosis is a cell regulation system controlled by gene. It is defined as a physiological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process for maintaining individual lives to cause death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of cells which are dangerous or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unnecessary. Apoptosis is much associated with cell gro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wth, differentiation, and other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physiological cellular phenomena, especially regarding immune system. It is now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manifest that apoptosis plays a significant role in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various stages of cancer cells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development; growth, or proliferation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inhibiton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disappe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arance, differentiation induced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by physical factors (like radiation, heat) and by chemical factors (ex. medicine).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One of the features of apoptotic cells is fragmentation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of chromatin DNA at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nucleosome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level (185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bp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). This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fragmentated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DNA can be detec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ted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histochemically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by terminal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labeling. TUNEL, an acronym for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Terminaldeoxyn</w:t>
      </w:r>
      <w:r>
        <w:rPr>
          <w:rFonts w:ascii="Verdana" w:hAnsi="Verdana" w:cs="ArialMT"/>
          <w:color w:val="auto"/>
          <w:kern w:val="0"/>
          <w:sz w:val="16"/>
          <w:szCs w:val="16"/>
        </w:rPr>
        <w:t>ucleotidyl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transferase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-mediated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dUTP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-biotin nick end labeling, is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effective method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for measuring the DNA fragments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resulting from the apoptotic activation of intracellular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endonucleases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Fluorochromelabeled</w:t>
      </w:r>
      <w:proofErr w:type="spell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nucleotides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are in situ incorporated onto t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he ends of these DNA fragments,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allowing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histologic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localizaion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and individual cells to be detected.</w:t>
      </w: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2. Principle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TUNEL method uses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Terminaldeoxynucleotidyl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transfe</w:t>
      </w:r>
      <w:r>
        <w:rPr>
          <w:rFonts w:ascii="Verdana" w:hAnsi="Verdana" w:cs="ArialMT"/>
          <w:color w:val="auto"/>
          <w:kern w:val="0"/>
          <w:sz w:val="16"/>
          <w:szCs w:val="16"/>
        </w:rPr>
        <w:t>rase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to label 3'-OH ends of DNA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fragments that are generated during the process of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apoptosis. The cells undergoing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apoptosis are specifically labeled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fluorescein-dUTP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with high sensitivity, allowing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the immediate detection by viewing with a fluorescence microscope. Since incorporated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fluorescence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can also be detected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-labe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led anti-fluorescence antibody,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it is possible to detect with an light microscope.</w:t>
      </w: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3. Feature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1. Ready to use: This kit allows speedy detection.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2. High sensitivity: This kit allows detection of th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 cells at the primary stage of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apoptosis at the single-cell level.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3. Specific: Apoptosis cells are stained more speci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fically than necrosis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cells.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4. Flexible: •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Both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tissue section and fixed cells are applicable as a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sample.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Both fluorescence micr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oscope and light microscope can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be used for detection.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Individual component can be available separately.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5. Accuracy: As a control slide is supplied, this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kit is suitable for confirming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an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user’s techniques, pr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ocedures, or for training of an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inexperienced person.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6. Safety: The supplied buffer does not include hazardous reagents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cacodylic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acid), allowing safe procedure.</w:t>
      </w: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4. Kit component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(For 20 assays)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1. Labeling Safe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Buffer ...........................................................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2 x 500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TdT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Terminaldexoynucleotidyl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Transferase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) Enzyme ......... 2 x 50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3. Anti-FITC HRP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Conjugate ..................................................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1 x 1.5 ml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4. Control Slides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* .......................................................................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2 slides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5.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Permeabilisation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Buffer ...................................................... 2 x 1.0 ml</w:t>
      </w:r>
    </w:p>
    <w:p w:rsidR="00005000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* Control slide is a paraffin-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embeded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tissue sectio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n of rat mammary gland. When it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is used as a positive control slide,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deparaffinization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of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the section is needed at first.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Please refer for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deparaffinization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procedure to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“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10</w:t>
      </w:r>
      <w:proofErr w:type="gramEnd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. </w:t>
      </w:r>
      <w:proofErr w:type="gramStart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Protocol, C. </w:t>
      </w:r>
      <w:proofErr w:type="spellStart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Paraffinembeded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tissue section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”, page 5.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After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dep</w:t>
      </w:r>
      <w:r>
        <w:rPr>
          <w:rFonts w:ascii="Verdana" w:hAnsi="Verdana" w:cs="ArialMT"/>
          <w:color w:val="auto"/>
          <w:kern w:val="0"/>
          <w:sz w:val="16"/>
          <w:szCs w:val="16"/>
        </w:rPr>
        <w:t>araffinizing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and treatment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Proteinase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K, please follow the protocol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according to the method of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subsequent detection.</w:t>
      </w:r>
    </w:p>
    <w:p w:rsidR="002006D3" w:rsidRDefault="002006D3" w:rsidP="00CF00B4">
      <w:pPr>
        <w:tabs>
          <w:tab w:val="left" w:pos="9356"/>
        </w:tabs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tabs>
          <w:tab w:val="left" w:pos="9356"/>
        </w:tabs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5. Storage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Shipped at -20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Store the component separately 1, 2, 5 .......... at -20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</w:t>
      </w:r>
    </w:p>
    <w:p w:rsidR="002006D3" w:rsidRPr="002006D3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                                              </w:t>
      </w:r>
      <w:r w:rsidR="002006D3" w:rsidRPr="002006D3">
        <w:rPr>
          <w:rFonts w:ascii="Verdana" w:hAnsi="Verdana" w:cs="ArialMT"/>
          <w:color w:val="auto"/>
          <w:kern w:val="0"/>
          <w:sz w:val="16"/>
          <w:szCs w:val="16"/>
        </w:rPr>
        <w:t>3 .................. at 4</w:t>
      </w:r>
      <w:r w:rsidR="002006D3"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="002006D3" w:rsidRPr="002006D3">
        <w:rPr>
          <w:rFonts w:ascii="Verdana" w:hAnsi="Verdana" w:cs="ArialMT"/>
          <w:color w:val="auto"/>
          <w:kern w:val="0"/>
          <w:sz w:val="16"/>
          <w:szCs w:val="16"/>
        </w:rPr>
        <w:t>C*</w:t>
      </w:r>
    </w:p>
    <w:p w:rsidR="002006D3" w:rsidRPr="002006D3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                                              </w:t>
      </w:r>
      <w:proofErr w:type="gramStart"/>
      <w:r w:rsidR="002006D3" w:rsidRPr="002006D3">
        <w:rPr>
          <w:rFonts w:ascii="Verdana" w:hAnsi="Verdana" w:cs="ArialMT"/>
          <w:color w:val="auto"/>
          <w:kern w:val="0"/>
          <w:sz w:val="16"/>
          <w:szCs w:val="16"/>
        </w:rPr>
        <w:t>4.</w:t>
      </w:r>
      <w:proofErr w:type="gramEnd"/>
      <w:r w:rsidR="002006D3"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................. </w:t>
      </w:r>
      <w:proofErr w:type="gramStart"/>
      <w:r w:rsidR="002006D3" w:rsidRPr="002006D3">
        <w:rPr>
          <w:rFonts w:ascii="Verdana" w:hAnsi="Verdana" w:cs="ArialMT"/>
          <w:color w:val="auto"/>
          <w:kern w:val="0"/>
          <w:sz w:val="16"/>
          <w:szCs w:val="16"/>
        </w:rPr>
        <w:t>at</w:t>
      </w:r>
      <w:proofErr w:type="gramEnd"/>
      <w:r w:rsidR="002006D3"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room temperature**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*Store at 4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 once it thawed.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**Store at room temperature after delivered, t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hough the kit is shipped at -20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C.</w:t>
      </w: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6. Reference: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1. Dawn, R.Z.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Tornusciolo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Robert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E.Schmidt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and Kevin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A.Roth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(1995)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BioTechniques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19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800-805.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2. Bernard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Piqueras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Brigitte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Autran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Patrice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Debre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, and Guy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Gorochov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(1996)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BioTechniques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20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634-640.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3.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Tushar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Patel,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Amindra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Arora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and Gregory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J.Gores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(1995) Analytical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Biochemistry,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229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229-235.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4. Jan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H.Wijsman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Richard R.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Jonker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Rob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Keijer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Cornelis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J.H. Van De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Velde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Cees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J.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Cornelisse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and Jan Hein Van 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Dierendonck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(1993)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The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Journal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Histochemistry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and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Cytochemistry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41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No.1, 7-12.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5. R. Gold, M.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Schmied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G.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Rothe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H.Zischler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H.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Breitschopf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H.Wekerle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, and H.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Lassmann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(1993) Th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 Journal of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Histochemistry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and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Cytochemistry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41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No.7, 1023-1030.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6. Yael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Garvrieli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Yoav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Sherman, and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Shmuel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A. Ben-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Sasson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(1992) </w:t>
      </w:r>
      <w:proofErr w:type="gramStart"/>
      <w:r>
        <w:rPr>
          <w:rFonts w:ascii="Verdana" w:hAnsi="Verdana" w:cs="ArialMT"/>
          <w:color w:val="auto"/>
          <w:kern w:val="0"/>
          <w:sz w:val="16"/>
          <w:szCs w:val="16"/>
        </w:rPr>
        <w:t>The</w:t>
      </w:r>
      <w:proofErr w:type="gram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Journal of Cell Biology,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119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No.3, 493-501.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7.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Jorn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Strater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Andreas R,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Gunthert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Silke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Bruderlein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Pe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ter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Moller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(1995)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Histochemistry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103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157-160.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8. Ruth J.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Muschel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Eric J. Bernhard, Luis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Garza, W.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Gillies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McKenna, and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Cameron J. Koch (1995) Cancer Research,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55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995-998.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9.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Katsuaki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Kato (1996) Progress in Medicine,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16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No.3, 867-870.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10.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Xun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Li,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Jianping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Gong, Eric Feldman, K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aren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Seiter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,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Frand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Traganos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and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Zbigniew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Darzynkiewicz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(1994)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Leukema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and Lymphoma,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13,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Suppl. 1, 65-70.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11. Alexander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Dolzhanskiy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, Ross S.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Basch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(1995) Journal of Immunological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Methods,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180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131-140.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12. Gold R.,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Schmied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M. et al. (1994) Laboratory Investigation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71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No.2, 219-225.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7. Available specimen form: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Cell: Adhered cells (Cultured on a chamber slide)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Cells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suspention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Cytospin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preparati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on on a slide glass, or smeared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and collected in a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microtube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Tissue section: Frozen section, paraffin-embedded section</w:t>
      </w: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8. Preparation of labeling</w:t>
      </w:r>
      <w:r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reaction mixture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1) Per one sample, prepare the reaction mixture by adding 5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l of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TdT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Enzyme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to 45 </w:t>
      </w:r>
      <w:proofErr w:type="spellStart"/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of Labeling Safe Buffer. One tu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be of Labeling Safe Buffer also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contains buffer in the amount for 2 negative control reactions (50 </w:t>
      </w:r>
      <w:proofErr w:type="spellStart"/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x 2).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2) Mix the prepared mixture gently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but well to be mixed uniformly.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Reaction mixture should be prepar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ed each time use, and should be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stored on ice until use. Do not store the prepar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ed mixture. If it is left for a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long period, the enzyme in the mixture might be inactivated.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Anti-FITC HRP Conjugate needs no preparation prior to use.</w:t>
      </w: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9. Reagents and instruments</w:t>
      </w:r>
      <w:r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requried</w:t>
      </w:r>
      <w:proofErr w:type="spellEnd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 other than this kit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Please refer to specific protocols to determine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applicalibity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Distilled water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Washing buffer (PBS or TBS)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ex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. Phosphate Buffered Salts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TBS 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Tris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-Buffered Saline) powder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Coloring substrate (DAB)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H2O2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Counterstain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solution (methyl green)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Micropipette and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microtube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(autoclaved)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Humidified chamber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Incubator (37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Glass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, Guard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Cover glass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Slide glass 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precoated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silan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)</w:t>
      </w:r>
    </w:p>
    <w:p w:rsidR="002006D3" w:rsidRPr="002006D3" w:rsidRDefault="002006D3" w:rsidP="00CF00B4">
      <w:pPr>
        <w:tabs>
          <w:tab w:val="left" w:pos="9356"/>
        </w:tabs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Microscope (Both fluorescence and light one are applicable.)</w:t>
      </w:r>
    </w:p>
    <w:p w:rsidR="002006D3" w:rsidRPr="002006D3" w:rsidRDefault="002006D3" w:rsidP="00CF00B4">
      <w:pPr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[For detection using paraffin-embedded section]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Glass or plastic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coplin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jar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Xylene</w:t>
      </w:r>
      <w:proofErr w:type="spellEnd"/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Ethanol (100%, 90%, 80%)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Glass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Proteinase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K (20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g/ml)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3% H2O2 (For endogenous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inactivation)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• Mounting medium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[For detection using frozen section]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pretreated to prevent exfoliation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precoated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silan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  <w:lang w:val="fr-FR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• Fixation solution (ex. 10%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neutral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-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buffered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formalin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,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aceton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,</w:t>
      </w:r>
      <w:r w:rsid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4%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paraformaldehyde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, etc.)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Methanol containing 0.3% H2O2 (for Endogenous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inactivation)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[For detection using cell]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pretreated to prevent exfoliation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precoated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silan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)</w:t>
      </w:r>
    </w:p>
    <w:p w:rsidR="002006D3" w:rsidRPr="00CF00B4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  <w:lang w:val="fr-FR"/>
        </w:rPr>
      </w:pPr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• Fixation solution</w:t>
      </w:r>
      <w:r w:rsidR="00CF00B4"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 </w:t>
      </w:r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(ex. 10% </w:t>
      </w:r>
      <w:proofErr w:type="spellStart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neutral</w:t>
      </w:r>
      <w:proofErr w:type="spellEnd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-</w:t>
      </w:r>
      <w:proofErr w:type="spellStart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buffered</w:t>
      </w:r>
      <w:proofErr w:type="spellEnd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 </w:t>
      </w:r>
      <w:proofErr w:type="spellStart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formalin</w:t>
      </w:r>
      <w:proofErr w:type="spellEnd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 xml:space="preserve">, 4% </w:t>
      </w:r>
      <w:proofErr w:type="spellStart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paraformaldehyde</w:t>
      </w:r>
      <w:proofErr w:type="spellEnd"/>
      <w:r w:rsidRPr="00CF00B4">
        <w:rPr>
          <w:rFonts w:ascii="Verdana" w:hAnsi="Verdana" w:cs="ArialMT"/>
          <w:color w:val="auto"/>
          <w:kern w:val="0"/>
          <w:sz w:val="16"/>
          <w:szCs w:val="16"/>
          <w:lang w:val="fr-FR"/>
        </w:rPr>
        <w:t>, etc.)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Methanol containing 0.3% H2O2 (for Endogenous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inactivation)</w:t>
      </w:r>
    </w:p>
    <w:p w:rsidR="00CF00B4" w:rsidRPr="00CF00B4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•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Microcentrifuge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(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cytospin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)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10</w:t>
      </w:r>
      <w:proofErr w:type="gramStart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.PROTOCOL</w:t>
      </w:r>
      <w:proofErr w:type="gramEnd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 </w:t>
      </w:r>
    </w:p>
    <w:p w:rsidR="00CF00B4" w:rsidRPr="002006D3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[A. Cultured cell]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1. Wash the collected cells with PBS, and dry in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air on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silanized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Fix the cells with 4%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paraformaldehyde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/ PBS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solution (pH7.4) by leaving at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room temperature for 15-30 min.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2. After washing the glass with PBS after fixation, inactivate endog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enous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with methanol containing 0.3% H2O2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at room temperature for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15-30 min. Wash with PBS after inactivation.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1) The step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inactivati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on is needed only when coloring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the section. This process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is omitted when performing flow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cytometry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analysis or on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ly observing with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fluorescene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microscope.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2)When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flow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cytometric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detection is performed subsequently, the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above two steps should be done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in a conical tube or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microtube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The treated cells can be store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d for 1-2 months when stored in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70% ethanol at -20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3. Apply 100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Permeabilisation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Buffer on ice for 2-5 min for well permeation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of enzyme reaction mixture. Wash with PBS.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4. Apply 50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 of labeling reaction mixture (consisting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TdT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Enzyme 5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l +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Labeling Safe Buffer 45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l, prepared and coo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led on ice prior to use) on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slide, and incubate in a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 humidified chamber for 60-90 min. It is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recommended to cover with a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* t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o prevent drying. Terminate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reaction by washing with PBS.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When performing reaction in a tube, mix gently once in every 15 min.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to suspend the precipitated cells.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The slides treated as above can be applicable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to detection with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fluorescene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microscope or flow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cytometry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. When viewing with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a light microscope, follow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procedure described as below.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5. Apply Anti-FITC HRP Conjugate at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 for 30 min, and wash with 3-4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times PBS. After coloring with DAB at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room temperature for 10-15 min,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terminate the reaction by washing with distilled water.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When performing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 a tub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e, sometimes mix gently so that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antibody can react uniformly with the cells.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6. Stain the cells with 3% methyl green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. Mount and detect with a light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microscope.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[B. Frozen tissue section]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1. Freeze the fresh cells immediately in an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OTC compound. Slice the frozen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tissue with a cryostat stick onto a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silanized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sl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ide. Fix the cells with freshly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prepared 4%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paraformaldehyde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/PBS solution (pH7.4) or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aceton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at room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temperature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for 15-30 min. Wash with PBS for 20-30 min.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2. Wash the slides with PBS, and inactivate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the endogenous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using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methanol (containing 0.3% H2O2) at room temperature, 15-30 min.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The step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inactivation i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s needed only when coloring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section. This process is omitted when only observing wit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h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fluorescene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microscope.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3. Apply 100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Permeabilisation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Buffer on ice for 2-5 min. so that enzyme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reaction mixture can permeate well.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4. Apply 50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 of labeling reaction mixt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ure (consisting of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TdT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Enzyme 5 </w:t>
      </w:r>
      <w:proofErr w:type="spellStart"/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+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Labeling Safe Buffer 45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l, prepared and cooled on ice prior to use) on the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slide, and incubate in a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 humidified incubator for 60-90 min. It is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recommended to cover the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with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* to prevent drying.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Terminate the reaction by washing in 3 changes of PBS for 5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min each wash.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The slides treated as above can be applicable to detection with a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fluorescene</w:t>
      </w:r>
      <w:proofErr w:type="spellEnd"/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microscope.</w:t>
      </w:r>
    </w:p>
    <w:p w:rsidR="002006D3" w:rsidRPr="002006D3" w:rsidRDefault="002006D3" w:rsidP="00CF00B4">
      <w:pPr>
        <w:autoSpaceDE w:val="0"/>
        <w:autoSpaceDN w:val="0"/>
        <w:adjustRightInd w:val="0"/>
        <w:ind w:firstLine="567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5. Apply 70 ml of Anti-FITC HRP Conjugate and incubate at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C for 30 min,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and wash in 3 change of PBS for 5 min per wash.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Note: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1) Cover the tissue uniformly with the antibody.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2) It is recommended to cover t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he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with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*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to prevent drying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6. After coloring with DAB at room temperature for 10-15 min, terminate the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reaction by washing with distilled water.7. Stain the cells with 3% methyl green. Observe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using a light microscope after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dehydration, penetration and sealing.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[C. Paraffin embedded tissue section]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1.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Deparaffinize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the section following the procedure described in "</w:t>
      </w:r>
      <w:r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10. </w:t>
      </w:r>
      <w:proofErr w:type="gramStart"/>
      <w:r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Protocol, </w:t>
      </w: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D. </w:t>
      </w:r>
      <w:proofErr w:type="spellStart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Deparaffinization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", page 6.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Wash with distilled water.</w:t>
      </w:r>
      <w:r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Apply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20 </w:t>
      </w:r>
      <w:proofErr w:type="spellStart"/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g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/ml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Proteinase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K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and leave at room temperature for 15 - 30 min.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lastRenderedPageBreak/>
        <w:t>Wash with PBS.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2. Inactivate the endogenous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by applying 3% H2O2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* for 5 min.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Wash with PBS.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The step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peroxidase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inactivation i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s needed only when coloring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section. This process is omitted when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on</w:t>
      </w:r>
      <w:r>
        <w:rPr>
          <w:rFonts w:ascii="Verdana" w:hAnsi="Verdana" w:cs="ArialMT"/>
          <w:color w:val="auto"/>
          <w:kern w:val="0"/>
          <w:sz w:val="16"/>
          <w:szCs w:val="16"/>
        </w:rPr>
        <w:t>ly</w:t>
      </w:r>
      <w:proofErr w:type="gram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observing with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fluorescene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microscope.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3. Apply 50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 of labeling reaction mixture (consisting of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TdT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Enzyme 5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>
        <w:rPr>
          <w:rFonts w:ascii="Verdana" w:hAnsi="Verdana" w:cs="ArialMT"/>
          <w:color w:val="auto"/>
          <w:kern w:val="0"/>
          <w:sz w:val="16"/>
          <w:szCs w:val="16"/>
        </w:rPr>
        <w:t>l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+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Labeling Safe Buffer 45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l, prepared and cooled on ice prior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to use) on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slide, and incubate in a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 humidified chamber for 60-90 min. It is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recommended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to cover the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with 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* to prevent drying.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Terminate the reaction by washing the slide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s in 3 changes of PBS for 5 min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per wash.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The above </w:t>
      </w: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processes allows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detection with a fluorescence microscope.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4. Apply 70 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μ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l of Anti-FITC HRP Conjugate and incubate at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C for 30 min,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and wash in 3 changes of PBS for 5 min. per wash.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CF00B4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Note: 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1)Cover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the tissue uniformly with the antibody.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2)It</w:t>
      </w:r>
      <w:proofErr w:type="gram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is recommended to cover the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slideglass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 with a </w:t>
      </w:r>
      <w:proofErr w:type="spellStart"/>
      <w:r>
        <w:rPr>
          <w:rFonts w:ascii="Verdana" w:hAnsi="Verdana" w:cs="ArialMT"/>
          <w:color w:val="auto"/>
          <w:kern w:val="0"/>
          <w:sz w:val="16"/>
          <w:szCs w:val="16"/>
        </w:rPr>
        <w:t>coverslip</w:t>
      </w:r>
      <w:proofErr w:type="spellEnd"/>
      <w:r>
        <w:rPr>
          <w:rFonts w:ascii="Verdana" w:hAnsi="Verdana" w:cs="ArialMT"/>
          <w:color w:val="auto"/>
          <w:kern w:val="0"/>
          <w:sz w:val="16"/>
          <w:szCs w:val="16"/>
        </w:rPr>
        <w:t xml:space="preserve">* to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prevent drying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5. After coloring with DAB at room temperature for 10-15 min, terminate the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reaction by washing with distilled water.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6. Stain with 3% methyl green. Observ</w:t>
      </w:r>
      <w:r>
        <w:rPr>
          <w:rFonts w:ascii="Verdana" w:hAnsi="Verdana" w:cs="ArialMT"/>
          <w:color w:val="auto"/>
          <w:kern w:val="0"/>
          <w:sz w:val="16"/>
          <w:szCs w:val="16"/>
        </w:rPr>
        <w:t xml:space="preserve">e with a light microscope after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dehydration, penetration and sealing.</w:t>
      </w:r>
    </w:p>
    <w:p w:rsidR="00CF00B4" w:rsidRDefault="00CF00B4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 xml:space="preserve">[D. </w:t>
      </w:r>
      <w:proofErr w:type="spellStart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Deparaffinization</w:t>
      </w:r>
      <w:proofErr w:type="spellEnd"/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]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1. Apply the followings in order.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spellStart"/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Xylene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spellStart"/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Xylene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II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spellStart"/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Xylene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III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100% ethanol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100% ethanol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90% ethanol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proofErr w:type="gram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80% ethanol for 5 min.</w:t>
      </w:r>
      <w:proofErr w:type="gramEnd"/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2. Wash with flowing water for 2 min.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3. Immerse in distilled water.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color w:val="auto"/>
          <w:kern w:val="0"/>
          <w:sz w:val="16"/>
          <w:szCs w:val="16"/>
        </w:rPr>
      </w:pPr>
      <w:r w:rsidRPr="002006D3">
        <w:rPr>
          <w:rFonts w:ascii="Verdana" w:hAnsi="Verdana" w:cs="Arial-BoldMT"/>
          <w:b/>
          <w:bCs/>
          <w:color w:val="auto"/>
          <w:kern w:val="0"/>
          <w:sz w:val="16"/>
          <w:szCs w:val="16"/>
        </w:rPr>
        <w:t>11. Note</w:t>
      </w:r>
    </w:p>
    <w:p w:rsidR="002006D3" w:rsidRPr="002006D3" w:rsidRDefault="002006D3" w:rsidP="00CF00B4">
      <w:pPr>
        <w:autoSpaceDE w:val="0"/>
        <w:autoSpaceDN w:val="0"/>
        <w:adjustRightInd w:val="0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Please read through this note prior to starting the protocol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1. It is recommended to use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silanized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slideglasses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to prevent exfoliation.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2. Humidified chamber should be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prewarmed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 to 37</w:t>
      </w:r>
      <w:r w:rsidRPr="002006D3">
        <w:rPr>
          <w:rFonts w:ascii="Verdana" w:hAnsi="Verdana" w:cs="Symbol"/>
          <w:color w:val="auto"/>
          <w:kern w:val="0"/>
          <w:sz w:val="16"/>
          <w:szCs w:val="16"/>
        </w:rPr>
        <w:t>°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C.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 xml:space="preserve">3. Covering the slides with </w:t>
      </w:r>
      <w:proofErr w:type="spellStart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coverslips</w:t>
      </w:r>
      <w:proofErr w:type="spellEnd"/>
      <w:r w:rsidRPr="002006D3">
        <w:rPr>
          <w:rFonts w:ascii="Verdana" w:hAnsi="Verdana" w:cs="ArialMT"/>
          <w:color w:val="auto"/>
          <w:kern w:val="0"/>
          <w:sz w:val="16"/>
          <w:szCs w:val="16"/>
        </w:rPr>
        <w:t>* during r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eaction is useful to spread the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reaction mixture uniformly (by capillar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y phenomenon). It also prevents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evaporation during incubation.</w:t>
      </w:r>
    </w:p>
    <w:p w:rsidR="002006D3" w:rsidRPr="002006D3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4. When covering the slides with reaction mixture after washing with PBS,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tap off the excess water with filter paper or paper towel.</w:t>
      </w:r>
    </w:p>
    <w:p w:rsidR="002006D3" w:rsidRPr="00CF00B4" w:rsidRDefault="002006D3" w:rsidP="00CF00B4">
      <w:pPr>
        <w:autoSpaceDE w:val="0"/>
        <w:autoSpaceDN w:val="0"/>
        <w:adjustRightInd w:val="0"/>
        <w:ind w:firstLine="284"/>
        <w:jc w:val="both"/>
        <w:rPr>
          <w:rFonts w:ascii="Verdana" w:hAnsi="Verdana" w:cs="ArialMT"/>
          <w:color w:val="auto"/>
          <w:kern w:val="0"/>
          <w:sz w:val="16"/>
          <w:szCs w:val="16"/>
        </w:rPr>
      </w:pPr>
      <w:r w:rsidRPr="002006D3">
        <w:rPr>
          <w:rFonts w:ascii="Verdana" w:hAnsi="Verdana" w:cs="ArialMT"/>
          <w:color w:val="auto"/>
          <w:kern w:val="0"/>
          <w:sz w:val="16"/>
          <w:szCs w:val="16"/>
        </w:rPr>
        <w:t>5. When washing the cells with PBS, pay sp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ecial attention not to pour PBS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directly to the cells because cells exfoliate.</w:t>
      </w:r>
      <w:r w:rsidR="00CF00B4">
        <w:rPr>
          <w:rFonts w:ascii="Verdana" w:hAnsi="Verdana" w:cs="ArialMT"/>
          <w:color w:val="auto"/>
          <w:kern w:val="0"/>
          <w:sz w:val="16"/>
          <w:szCs w:val="16"/>
        </w:rPr>
        <w:t xml:space="preserve"> When using tissue section as a </w:t>
      </w:r>
      <w:r w:rsidRPr="002006D3">
        <w:rPr>
          <w:rFonts w:ascii="Verdana" w:hAnsi="Verdana" w:cs="ArialMT"/>
          <w:color w:val="auto"/>
          <w:kern w:val="0"/>
          <w:sz w:val="16"/>
          <w:szCs w:val="16"/>
        </w:rPr>
        <w:t>specimen, wash in 3 changes for 3 min. per wash.</w:t>
      </w:r>
    </w:p>
    <w:sectPr w:rsidR="002006D3" w:rsidRPr="00CF00B4" w:rsidSect="00962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D3" w:rsidRDefault="002006D3" w:rsidP="00607E7C">
      <w:r>
        <w:separator/>
      </w:r>
    </w:p>
  </w:endnote>
  <w:endnote w:type="continuationSeparator" w:id="1">
    <w:p w:rsidR="002006D3" w:rsidRDefault="002006D3" w:rsidP="0060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04" w:rsidRDefault="00AB0F04">
    <w:pPr>
      <w:pStyle w:val="Footer"/>
    </w:pPr>
  </w:p>
  <w:tbl>
    <w:tblPr>
      <w:tblStyle w:val="TableGrid"/>
      <w:tblpPr w:leftFromText="180" w:rightFromText="180" w:vertAnchor="text" w:horzAnchor="margin" w:tblpXSpec="center" w:tblpY="2777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37"/>
      <w:gridCol w:w="3067"/>
      <w:gridCol w:w="2409"/>
      <w:gridCol w:w="2410"/>
    </w:tblGrid>
    <w:tr w:rsidR="00AB0F04" w:rsidTr="009627B5">
      <w:tc>
        <w:tcPr>
          <w:tcW w:w="3137" w:type="dxa"/>
        </w:tcPr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  <w:t>Gentaur Europe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Avenue de l’Armée 68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B-1040 Brussels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Tel: +32 16 58 90 45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Fax: +32 16 50 90 45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info@gentaur.com</w:t>
          </w:r>
        </w:p>
        <w:p w:rsidR="00AB0F04" w:rsidRDefault="00DE1AB2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DE1AB2">
            <w:rPr>
              <w:rFonts w:ascii="Tahoma" w:hAnsi="Tahoma" w:cs="Tahoma"/>
              <w:sz w:val="16"/>
              <w:szCs w:val="16"/>
              <w:lang w:val="nl-BE"/>
            </w:rPr>
            <w:t>www.gentaur.com</w:t>
          </w:r>
        </w:p>
        <w:p w:rsidR="00DE1AB2" w:rsidRPr="00607E7C" w:rsidRDefault="00DE1AB2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</w:p>
      </w:tc>
      <w:tc>
        <w:tcPr>
          <w:tcW w:w="3067" w:type="dxa"/>
        </w:tcPr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</w:rPr>
          </w:pPr>
          <w:r w:rsidRPr="00616AEB">
            <w:rPr>
              <w:rFonts w:ascii="Tahoma" w:hAnsi="Tahoma" w:cs="Tahoma"/>
              <w:b/>
              <w:bCs/>
              <w:color w:val="0033CC"/>
              <w:sz w:val="16"/>
              <w:szCs w:val="16"/>
            </w:rPr>
            <w:t>Gentaur Germany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 xml:space="preserve">IME, </w:t>
          </w:r>
          <w:proofErr w:type="spellStart"/>
          <w:r w:rsidRPr="00616AEB">
            <w:rPr>
              <w:rFonts w:ascii="Tahoma" w:hAnsi="Tahoma" w:cs="Tahoma"/>
              <w:sz w:val="16"/>
              <w:szCs w:val="16"/>
            </w:rPr>
            <w:t>Forckenbeckstrasse</w:t>
          </w:r>
          <w:proofErr w:type="spellEnd"/>
          <w:r w:rsidRPr="00616AEB">
            <w:rPr>
              <w:rFonts w:ascii="Tahoma" w:hAnsi="Tahoma" w:cs="Tahoma"/>
              <w:sz w:val="16"/>
              <w:szCs w:val="16"/>
            </w:rPr>
            <w:t xml:space="preserve"> 6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D-52074 Aachen Germany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0241 6085 13140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0241 6085 33033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info@bioprice.com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www.bioprice.com</w:t>
          </w:r>
        </w:p>
      </w:tc>
      <w:tc>
        <w:tcPr>
          <w:tcW w:w="2409" w:type="dxa"/>
        </w:tcPr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b/>
              <w:bCs/>
              <w:color w:val="0033CC"/>
              <w:sz w:val="16"/>
              <w:szCs w:val="16"/>
              <w:lang w:val="fr-BE"/>
            </w:rPr>
            <w:t>Gentaur France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9, Rue Lagrange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fr-BE"/>
            </w:rPr>
          </w:pPr>
          <w:r w:rsidRPr="00607E7C">
            <w:rPr>
              <w:rFonts w:ascii="Tahoma" w:hAnsi="Tahoma" w:cs="Tahoma"/>
              <w:sz w:val="16"/>
              <w:szCs w:val="16"/>
              <w:lang w:val="fr-BE"/>
            </w:rPr>
            <w:t>75005 Paris, France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+33(0)143 25 0150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+33(0)143 25 0160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info@clonagen.com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www.clonagen.com</w:t>
          </w:r>
        </w:p>
      </w:tc>
      <w:tc>
        <w:tcPr>
          <w:tcW w:w="2410" w:type="dxa"/>
        </w:tcPr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b/>
              <w:bCs/>
              <w:color w:val="0033CC"/>
              <w:sz w:val="16"/>
              <w:szCs w:val="16"/>
            </w:rPr>
          </w:pPr>
          <w:r w:rsidRPr="00616AEB">
            <w:rPr>
              <w:rFonts w:ascii="Tahoma" w:hAnsi="Tahoma" w:cs="Tahoma"/>
              <w:b/>
              <w:bCs/>
              <w:color w:val="0033CC"/>
              <w:sz w:val="16"/>
              <w:szCs w:val="16"/>
            </w:rPr>
            <w:t>Gentaur Italy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Tel: 02 36 00 65 93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Fax: 02 36 00 65 94</w:t>
          </w:r>
        </w:p>
        <w:p w:rsidR="00AB0F04" w:rsidRPr="00616AEB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</w:rPr>
          </w:pPr>
          <w:r w:rsidRPr="00616AEB">
            <w:rPr>
              <w:rFonts w:ascii="Tahoma" w:hAnsi="Tahoma" w:cs="Tahoma"/>
              <w:sz w:val="16"/>
              <w:szCs w:val="16"/>
            </w:rPr>
            <w:t>info@labprice.com</w:t>
          </w:r>
        </w:p>
        <w:p w:rsidR="00AB0F04" w:rsidRPr="00607E7C" w:rsidRDefault="00AB0F04" w:rsidP="009627B5">
          <w:pPr>
            <w:widowControl w:val="0"/>
            <w:jc w:val="center"/>
            <w:rPr>
              <w:rFonts w:ascii="Tahoma" w:hAnsi="Tahoma" w:cs="Tahoma"/>
              <w:sz w:val="16"/>
              <w:szCs w:val="16"/>
              <w:lang w:val="nl-BE"/>
            </w:rPr>
          </w:pPr>
          <w:r w:rsidRPr="00616AEB">
            <w:rPr>
              <w:rFonts w:ascii="Tahoma" w:hAnsi="Tahoma" w:cs="Tahoma"/>
              <w:sz w:val="16"/>
              <w:szCs w:val="16"/>
              <w:lang w:val="nl-BE"/>
            </w:rPr>
            <w:t>www.labprice.com</w:t>
          </w:r>
        </w:p>
      </w:tc>
    </w:tr>
  </w:tbl>
  <w:p w:rsidR="00AB0F04" w:rsidRDefault="00AB0F04">
    <w:pPr>
      <w:pStyle w:val="Footer"/>
    </w:pPr>
  </w:p>
  <w:p w:rsidR="00AB0F04" w:rsidRDefault="00AB0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D3" w:rsidRDefault="002006D3" w:rsidP="00607E7C">
      <w:r>
        <w:separator/>
      </w:r>
    </w:p>
  </w:footnote>
  <w:footnote w:type="continuationSeparator" w:id="1">
    <w:p w:rsidR="002006D3" w:rsidRDefault="002006D3" w:rsidP="0060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04" w:rsidRDefault="00D67D3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75pt;margin-top:-3.85pt;width:181.4pt;height:24.85pt;z-index:251662336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1;mso-column-margin:2mm" inset="2.88pt,2.88pt,2.88pt,2.88pt">
            <w:txbxContent>
              <w:p w:rsidR="00AB0F04" w:rsidRDefault="00AB0F04" w:rsidP="00903899">
                <w:pPr>
                  <w:widowControl w:val="0"/>
                  <w:jc w:val="center"/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  <w:t>www.clonagen.com</w:t>
                </w:r>
              </w:p>
            </w:txbxContent>
          </v:textbox>
        </v:shape>
      </w:pict>
    </w:r>
    <w:r w:rsidR="00AB0F04" w:rsidRPr="009627B5">
      <w:rPr>
        <w:noProof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-59055</wp:posOffset>
          </wp:positionV>
          <wp:extent cx="1619250" cy="1257300"/>
          <wp:effectExtent l="19050" t="0" r="0" b="0"/>
          <wp:wrapNone/>
          <wp:docPr id="14" name="Picture 78" descr="Gentaur Bi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Gentaur Big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57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B0F04" w:rsidRDefault="00D67D30">
    <w:pPr>
      <w:pStyle w:val="Header"/>
    </w:pPr>
    <w:r>
      <w:rPr>
        <w:noProof/>
      </w:rPr>
      <w:pict>
        <v:shape id="_x0000_s2053" type="#_x0000_t202" style="position:absolute;margin-left:307.65pt;margin-top:-17.95pt;width:195.5pt;height:25.2pt;z-index:251663360;visibility:visible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AB0F04" w:rsidRDefault="00AB0F04" w:rsidP="00903899">
                <w:pPr>
                  <w:widowControl w:val="0"/>
                  <w:jc w:val="center"/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  <w:lang w:val="nl-BE"/>
                  </w:rPr>
                  <w:t>www.bioxys.com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217.3pt;margin-top:13.85pt;width:175.75pt;height:25.5pt;z-index:251661312;mso-wrap-distance-left:2.88pt;mso-wrap-distance-top:2.88pt;mso-wrap-distance-right:2.88pt;mso-wrap-distance-bottom:2.88pt" fillcolor="aqua" strokecolor="#03c" o:cliptowrap="t">
          <v:fill opacity="19661f"/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868686"/>
          <v:textpath style="font-family:&quot;Tahoma&quot;;font-size:16pt;font-weight:bold;v-text-kern:t" trim="t" fitpath="t" string="www.gentaur.com"/>
        </v:shape>
      </w:pict>
    </w:r>
    <w:r>
      <w:rPr>
        <w:noProof/>
      </w:rPr>
      <w:pict>
        <v:rect id="_x0000_s2049" style="position:absolute;margin-left:-1.75pt;margin-top:-15.35pt;width:510.15pt;height:65.2pt;z-index:251660288;mso-wrap-distance-left:2.88pt;mso-wrap-distance-top:2.88pt;mso-wrap-distance-right:2.88pt;mso-wrap-distance-bottom:2.88pt" filled="f" stroked="f" strokecolor="black [0]" insetpen="t" o:cliptowrap="t">
          <v:stroke>
            <o:left v:ext="view" color="black [0]" joinstyle="miter" insetpen="t"/>
            <o:top v:ext="view" color="black [0]" joinstyle="miter" insetpen="t"/>
            <o:right v:ext="view" color="black [0]" joinstyle="miter" insetpen="t"/>
            <o:bottom v:ext="view" color="#03c" weight="1pt" joinstyle="miter" insetpen="t" on="t"/>
            <o:column v:ext="view" color="black [0]"/>
          </v:stroke>
          <v:shadow color="#ccc"/>
          <v:textbox inset="2.88pt,2.88pt,2.88pt,2.88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B2" w:rsidRDefault="00DE1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DD0"/>
    <w:multiLevelType w:val="hybridMultilevel"/>
    <w:tmpl w:val="039A66D2"/>
    <w:lvl w:ilvl="0" w:tplc="A8DA3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00B4"/>
    <w:rsid w:val="00005000"/>
    <w:rsid w:val="00052939"/>
    <w:rsid w:val="000E37CB"/>
    <w:rsid w:val="000F1F99"/>
    <w:rsid w:val="001710B0"/>
    <w:rsid w:val="001C3DE5"/>
    <w:rsid w:val="001C75FC"/>
    <w:rsid w:val="001D03DA"/>
    <w:rsid 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:val="003A403B"/>
    <w:rsid w:val="003F7A74"/>
    <w:rsid w:val="004443A0"/>
    <w:rsid w:val="00445543"/>
    <w:rsid w:val="0046627E"/>
    <w:rsid w:val="004B16E1"/>
    <w:rsid w:val="004D6D7C"/>
    <w:rsid w:val="004D726C"/>
    <w:rsid w:val="00516CD8"/>
    <w:rsid w:val="00577891"/>
    <w:rsid w:val="005B574E"/>
    <w:rsid w:val="005C0B5D"/>
    <w:rsid w:val="00605F1E"/>
    <w:rsid w:val="00607E7C"/>
    <w:rsid w:val="00616AEB"/>
    <w:rsid w:val="00631C7E"/>
    <w:rsid w:val="006366B1"/>
    <w:rsid w:val="006542D5"/>
    <w:rsid w:val="00693928"/>
    <w:rsid w:val="00697F6D"/>
    <w:rsid w:val="006D6B4F"/>
    <w:rsid w:val="00707048"/>
    <w:rsid w:val="00716AA5"/>
    <w:rsid w:val="00744781"/>
    <w:rsid w:val="0078236A"/>
    <w:rsid w:val="007851BA"/>
    <w:rsid w:val="007A1F60"/>
    <w:rsid w:val="007D0A16"/>
    <w:rsid w:val="007E44E3"/>
    <w:rsid w:val="007F3718"/>
    <w:rsid w:val="00806666"/>
    <w:rsid w:val="00810396"/>
    <w:rsid w:val="00832A92"/>
    <w:rsid w:val="00846DE8"/>
    <w:rsid w:val="00853284"/>
    <w:rsid w:val="00856CB9"/>
    <w:rsid w:val="008603DF"/>
    <w:rsid w:val="008A2C02"/>
    <w:rsid w:val="008F2458"/>
    <w:rsid w:val="00903899"/>
    <w:rsid w:val="00904B25"/>
    <w:rsid w:val="00914058"/>
    <w:rsid w:val="00935878"/>
    <w:rsid w:val="009627B5"/>
    <w:rsid w:val="00981A6A"/>
    <w:rsid w:val="009A0B47"/>
    <w:rsid w:val="009A1D6A"/>
    <w:rsid w:val="009C461B"/>
    <w:rsid w:val="009E2628"/>
    <w:rsid w:val="00A20D13"/>
    <w:rsid w:val="00A43493"/>
    <w:rsid w:val="00A66CF3"/>
    <w:rsid w:val="00A73B41"/>
    <w:rsid w:val="00AB0F04"/>
    <w:rsid w:val="00AB6085"/>
    <w:rsid w:val="00B618F9"/>
    <w:rsid w:val="00B73A1C"/>
    <w:rsid w:val="00BF4BA4"/>
    <w:rsid w:val="00C16DAE"/>
    <w:rsid w:val="00C408D2"/>
    <w:rsid w:val="00C530E5"/>
    <w:rsid w:val="00C65320"/>
    <w:rsid w:val="00C672E7"/>
    <w:rsid w:val="00C83F97"/>
    <w:rsid w:val="00C91F20"/>
    <w:rsid w:val="00CF00B4"/>
    <w:rsid w:val="00D0101D"/>
    <w:rsid w:val="00D05A64"/>
    <w:rsid w:val="00D67D30"/>
    <w:rsid w:val="00D95556"/>
    <w:rsid w:val="00DA29AB"/>
    <w:rsid w:val="00DE1AB2"/>
    <w:rsid w:val="00E66505"/>
    <w:rsid w:val="00E72FCC"/>
    <w:rsid w:val="00E814B7"/>
    <w:rsid w:val="00EB6892"/>
    <w:rsid w:val="00ED63A8"/>
    <w:rsid w:val="00EE76E1"/>
    <w:rsid w:val="00EE7D5A"/>
    <w:rsid w:val="00F51FCC"/>
    <w:rsid w:val="00F607DB"/>
    <w:rsid w:val="00F7121E"/>
    <w:rsid w:val="00F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3D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F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F9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396"/>
    <w:rPr>
      <w:color w:val="4682B4"/>
      <w:u w:val="single"/>
    </w:rPr>
  </w:style>
  <w:style w:type="paragraph" w:styleId="NormalWeb">
    <w:name w:val="Normal (Web)"/>
    <w:basedOn w:val="Normal"/>
    <w:uiPriority w:val="99"/>
    <w:unhideWhenUsed/>
    <w:rsid w:val="0081039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7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7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607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7C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eline\Let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5E2-B45D-473D-91B7-F30C06E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Lettre.dotx</Template>
  <TotalTime>18</TotalTime>
  <Pages>4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</cp:revision>
  <dcterms:created xsi:type="dcterms:W3CDTF">2008-08-04T13:52:00Z</dcterms:created>
  <dcterms:modified xsi:type="dcterms:W3CDTF">2008-08-04T14:10:00Z</dcterms:modified>
</cp:coreProperties>
</file>