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DE" w:rsidRPr="00C623FC" w:rsidRDefault="00C623FC" w:rsidP="00E960DE">
      <w:pPr>
        <w:tabs>
          <w:tab w:val="left" w:pos="7230"/>
        </w:tabs>
        <w:ind w:right="27"/>
        <w:rPr>
          <w:rFonts w:cs="Arial"/>
          <w:b/>
          <w:sz w:val="36"/>
          <w:szCs w:val="36"/>
          <w:lang w:val="fr-FR"/>
        </w:rPr>
      </w:pPr>
      <w:r>
        <w:rPr>
          <w:rFonts w:cs="Arial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514350</wp:posOffset>
            </wp:positionV>
            <wp:extent cx="2473960" cy="2305050"/>
            <wp:effectExtent l="19050" t="0" r="2540" b="0"/>
            <wp:wrapNone/>
            <wp:docPr id="40" name="Picture 34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0DE" w:rsidRPr="00C623FC">
        <w:rPr>
          <w:rFonts w:cs="Arial"/>
          <w:b/>
          <w:color w:val="0070C0"/>
          <w:sz w:val="36"/>
          <w:szCs w:val="36"/>
          <w:lang w:val="fr-FR"/>
        </w:rPr>
        <w:t>GENTAUR</w:t>
      </w:r>
      <w:r w:rsidR="00E960DE" w:rsidRPr="00C623FC">
        <w:rPr>
          <w:rFonts w:cs="Arial"/>
          <w:b/>
          <w:sz w:val="36"/>
          <w:szCs w:val="36"/>
          <w:lang w:val="fr-FR"/>
        </w:rPr>
        <w:t xml:space="preserve"> </w:t>
      </w:r>
      <w:proofErr w:type="spellStart"/>
      <w:r w:rsidR="00E960DE" w:rsidRPr="00C623FC">
        <w:rPr>
          <w:rFonts w:cs="Arial"/>
          <w:b/>
          <w:sz w:val="36"/>
          <w:szCs w:val="36"/>
          <w:lang w:val="fr-FR"/>
        </w:rPr>
        <w:t>BioAssays</w:t>
      </w:r>
      <w:proofErr w:type="spellEnd"/>
      <w:r w:rsidR="00E960DE" w:rsidRPr="00C623FC">
        <w:rPr>
          <w:rFonts w:cs="Arial"/>
          <w:b/>
          <w:sz w:val="36"/>
          <w:szCs w:val="36"/>
          <w:lang w:val="fr-FR"/>
        </w:rPr>
        <w:t xml:space="preserve"> System: Solution </w:t>
      </w:r>
      <w:r w:rsidR="003D5353" w:rsidRPr="00C623FC">
        <w:rPr>
          <w:rFonts w:cs="Arial"/>
          <w:b/>
          <w:sz w:val="36"/>
          <w:szCs w:val="36"/>
          <w:lang w:val="fr-FR"/>
        </w:rPr>
        <w:t xml:space="preserve">Pour la Recherche et la Découverte de </w:t>
      </w:r>
      <w:r w:rsidRPr="00C623FC">
        <w:rPr>
          <w:rFonts w:cs="Arial"/>
          <w:b/>
          <w:sz w:val="36"/>
          <w:szCs w:val="36"/>
          <w:lang w:val="fr-FR"/>
        </w:rPr>
        <w:t>nouvelles molécules</w:t>
      </w:r>
    </w:p>
    <w:p w:rsidR="00E960DE" w:rsidRPr="00C623FC" w:rsidRDefault="005E4E0D" w:rsidP="00E960DE">
      <w:pPr>
        <w:tabs>
          <w:tab w:val="left" w:pos="7230"/>
        </w:tabs>
        <w:ind w:right="27"/>
        <w:rPr>
          <w:rFonts w:cs="Arial"/>
          <w:b/>
          <w:sz w:val="16"/>
          <w:szCs w:val="16"/>
          <w:lang w:val="fr-FR"/>
        </w:rPr>
      </w:pPr>
      <w:r w:rsidRPr="00C623FC">
        <w:rPr>
          <w:rFonts w:eastAsia="Times New Roman" w:cs="Arial"/>
          <w:b/>
          <w:bCs/>
          <w:noProof/>
          <w:sz w:val="16"/>
          <w:szCs w:val="16"/>
        </w:rPr>
        <w:pict>
          <v:roundrect id="_x0000_s1032" style="position:absolute;margin-left:-4.5pt;margin-top:7.35pt;width:324.5pt;height:678.45pt;z-index:-251656192" arcsize="2670f" fillcolor="#e2edfe" stroked="f"/>
        </w:pict>
      </w:r>
    </w:p>
    <w:tbl>
      <w:tblPr>
        <w:tblpPr w:leftFromText="180" w:rightFromText="180" w:vertAnchor="text" w:tblpY="1"/>
        <w:tblOverlap w:val="never"/>
        <w:tblW w:w="6394" w:type="dxa"/>
        <w:tblInd w:w="93" w:type="dxa"/>
        <w:tblLayout w:type="fixed"/>
        <w:tblLook w:val="04A0"/>
      </w:tblPr>
      <w:tblGrid>
        <w:gridCol w:w="1149"/>
        <w:gridCol w:w="3402"/>
        <w:gridCol w:w="1134"/>
        <w:gridCol w:w="709"/>
      </w:tblGrid>
      <w:tr w:rsidR="00E960DE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0DE" w:rsidRPr="00C623FC" w:rsidRDefault="003D5353" w:rsidP="00497D76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C623FC">
              <w:rPr>
                <w:rFonts w:eastAsia="Times New Roman" w:cs="Arial"/>
                <w:b/>
                <w:bCs/>
                <w:sz w:val="20"/>
                <w:szCs w:val="20"/>
              </w:rPr>
              <w:t>Réf</w:t>
            </w:r>
            <w:proofErr w:type="spellEnd"/>
            <w:r w:rsidRPr="00C623FC">
              <w:rPr>
                <w:rFonts w:eastAsia="Times New Roman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0DE" w:rsidRPr="00C623FC" w:rsidRDefault="003D5353" w:rsidP="00497D76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623FC">
              <w:rPr>
                <w:rFonts w:eastAsia="Times New Roman" w:cs="Arial"/>
                <w:b/>
                <w:bCs/>
                <w:sz w:val="20"/>
                <w:szCs w:val="20"/>
              </w:rPr>
              <w:t xml:space="preserve">Nom du </w:t>
            </w:r>
            <w:proofErr w:type="spellStart"/>
            <w:r w:rsidRPr="00C623FC">
              <w:rPr>
                <w:rFonts w:eastAsia="Times New Roman" w:cs="Arial"/>
                <w:b/>
                <w:bCs/>
                <w:sz w:val="20"/>
                <w:szCs w:val="20"/>
              </w:rPr>
              <w:t>produit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0DE" w:rsidRPr="00C623FC" w:rsidRDefault="003D5353" w:rsidP="00497D76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C623FC">
              <w:rPr>
                <w:rFonts w:eastAsia="Times New Roman" w:cs="Arial"/>
                <w:b/>
                <w:bCs/>
                <w:sz w:val="20"/>
                <w:szCs w:val="20"/>
              </w:rPr>
              <w:t>Nombre</w:t>
            </w:r>
            <w:proofErr w:type="spellEnd"/>
            <w:r w:rsidRPr="00C623FC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23FC">
              <w:rPr>
                <w:rFonts w:eastAsia="Times New Roman" w:cs="Arial"/>
                <w:b/>
                <w:bCs/>
                <w:sz w:val="20"/>
                <w:szCs w:val="20"/>
              </w:rPr>
              <w:t>d’unités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0DE" w:rsidRPr="00C623FC" w:rsidRDefault="00E960DE" w:rsidP="003D5353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623FC">
              <w:rPr>
                <w:rFonts w:eastAsia="Times New Roman" w:cs="Arial"/>
                <w:b/>
                <w:bCs/>
                <w:sz w:val="20"/>
                <w:szCs w:val="20"/>
              </w:rPr>
              <w:t>Pri</w:t>
            </w:r>
            <w:r w:rsidR="003D5353" w:rsidRPr="00C623FC">
              <w:rPr>
                <w:rFonts w:eastAsia="Times New Roman" w:cs="Arial"/>
                <w:b/>
                <w:bCs/>
                <w:sz w:val="20"/>
                <w:szCs w:val="20"/>
              </w:rPr>
              <w:t>x</w:t>
            </w:r>
          </w:p>
        </w:tc>
      </w:tr>
      <w:tr w:rsidR="00E960DE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0DE" w:rsidRPr="00C623FC" w:rsidRDefault="00E960DE" w:rsidP="00497D76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0DE" w:rsidRPr="00C623FC" w:rsidRDefault="00E960DE" w:rsidP="00497D76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0DE" w:rsidRPr="00C623FC" w:rsidRDefault="00E960DE" w:rsidP="00497D76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0DE" w:rsidRPr="00C623FC" w:rsidRDefault="00E960DE" w:rsidP="00497D76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960DE" w:rsidRPr="00C623FC" w:rsidTr="0001536E">
        <w:trPr>
          <w:trHeight w:val="198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DE" w:rsidRPr="00C623FC" w:rsidRDefault="00E960DE" w:rsidP="00497D76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b/>
                <w:bCs/>
                <w:sz w:val="16"/>
                <w:szCs w:val="16"/>
              </w:rPr>
              <w:t>Cytotoxicity</w:t>
            </w:r>
            <w:proofErr w:type="spellEnd"/>
            <w:r w:rsidRPr="00C623FC">
              <w:rPr>
                <w:rFonts w:eastAsia="Times New Roman" w:cs="Arial"/>
                <w:b/>
                <w:bCs/>
                <w:sz w:val="16"/>
                <w:szCs w:val="16"/>
              </w:rPr>
              <w:t xml:space="preserve"> and Cell Proliferation Assays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0DE" w:rsidRPr="00C623FC" w:rsidRDefault="00E960DE" w:rsidP="00497D76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0DE" w:rsidRPr="00C623FC" w:rsidRDefault="00E960DE" w:rsidP="00497D76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E960DE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0DE" w:rsidRPr="00C623FC" w:rsidRDefault="00E960DE" w:rsidP="00497D76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CQBL-05K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0DE" w:rsidRPr="00C623FC" w:rsidRDefault="00E960DE" w:rsidP="00497D76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CellQuanti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-Blue™ Cell Viability Assay Kits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0DE" w:rsidRPr="00C623FC" w:rsidRDefault="00E960DE" w:rsidP="00497D76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0DE" w:rsidRPr="00C623FC" w:rsidRDefault="00E960DE" w:rsidP="00497D76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="0040146C" w:rsidRPr="00C623FC">
              <w:rPr>
                <w:rFonts w:eastAsia="Times New Roman" w:cs="Arial"/>
                <w:sz w:val="16"/>
                <w:szCs w:val="16"/>
              </w:rPr>
              <w:t>143</w:t>
            </w:r>
          </w:p>
        </w:tc>
      </w:tr>
      <w:tr w:rsidR="00E960DE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0DE" w:rsidRPr="00C623FC" w:rsidRDefault="00E960DE" w:rsidP="00497D76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CQBL-10K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0DE" w:rsidRPr="00C623FC" w:rsidRDefault="00E960DE" w:rsidP="00497D76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CellQuanti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-Blue™ Cell Viability Assay Kits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0DE" w:rsidRPr="00C623FC" w:rsidRDefault="00E960DE" w:rsidP="00497D76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0DE" w:rsidRPr="00C623FC" w:rsidRDefault="00E960DE" w:rsidP="0040146C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236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CQMT-500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CellQuanti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-MTT™ Cell Viability Assay Kits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122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CQMT-01K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CellQuanti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-MTT™ Cell Viability Assay Kits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174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CTTX-050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Cytotoxicity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Control Reagent (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Saponin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50mg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80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ECTX-200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EnzyLight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™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Cytotoxicity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164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b/>
                <w:bCs/>
                <w:sz w:val="16"/>
                <w:szCs w:val="16"/>
              </w:rPr>
              <w:t>BioAssay</w:t>
            </w:r>
            <w:proofErr w:type="spellEnd"/>
            <w:r w:rsidRPr="00C623FC">
              <w:rPr>
                <w:rFonts w:eastAsia="Times New Roman" w:cs="Arial"/>
                <w:b/>
                <w:bCs/>
                <w:sz w:val="16"/>
                <w:szCs w:val="16"/>
              </w:rPr>
              <w:t xml:space="preserve"> Kits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DACE-100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™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Acetylcholinesterase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320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5E4E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noProof/>
                <w:sz w:val="6"/>
                <w:szCs w:val="6"/>
              </w:rPr>
              <w:pict>
                <v:rect id="_x0000_s1132" style="position:absolute;margin-left:-9.4pt;margin-top:.85pt;width:324.75pt;height:9.9pt;z-index:-251533312;mso-position-horizontal-relative:text;mso-position-vertical-relative:text" fillcolor="#c7dcfd" stroked="f"/>
              </w:pict>
            </w:r>
            <w:r w:rsidR="006F0F0D" w:rsidRPr="00C623FC">
              <w:rPr>
                <w:rFonts w:eastAsia="Times New Roman" w:cs="Arial"/>
                <w:sz w:val="16"/>
                <w:szCs w:val="16"/>
              </w:rPr>
              <w:t>DALP-250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™ Alkaline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Phosphatase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247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DAMY-100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α-Amylase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340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DARG-200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™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Arginase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299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5E4E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noProof/>
                <w:sz w:val="6"/>
                <w:szCs w:val="6"/>
              </w:rPr>
              <w:pict>
                <v:rect id="_x0000_s1134" style="position:absolute;margin-left:-9.15pt;margin-top:8.8pt;width:324.5pt;height:21.95pt;z-index:-251531264;mso-position-horizontal-relative:text;mso-position-vertical-relative:text" fillcolor="#c7dcfd" stroked="f"/>
              </w:pict>
            </w:r>
            <w:r w:rsidR="006F0F0D" w:rsidRPr="00C623FC">
              <w:rPr>
                <w:rFonts w:eastAsia="Times New Roman" w:cs="Arial"/>
                <w:sz w:val="16"/>
                <w:szCs w:val="16"/>
              </w:rPr>
              <w:t>DATG-200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™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ATPase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/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GTPase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5E4E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noProof/>
                <w:sz w:val="17"/>
                <w:szCs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margin-left:29.85pt;margin-top:1.85pt;width:222pt;height:515.2pt;z-index:251695104;mso-position-horizontal-relative:text;mso-position-vertical-relative:text" filled="f" stroked="f">
                  <v:textbox style="mso-next-textbox:#_x0000_s1063">
                    <w:txbxContent>
                      <w:p w:rsidR="00586C2B" w:rsidRPr="00C623FC" w:rsidRDefault="00586C2B" w:rsidP="0064603B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 xml:space="preserve">Cell Proliferation and </w:t>
                        </w: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Cytotoxicity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 xml:space="preserve"> Assay Kits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86C2B" w:rsidRPr="00C623FC" w:rsidRDefault="00586C2B" w:rsidP="0064603B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:rsidR="00586C2B" w:rsidRPr="00C623FC" w:rsidRDefault="00586C2B" w:rsidP="0064603B">
                        <w:pPr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</w:pP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CellQuanti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-Blue™ </w:t>
                        </w:r>
                        <w:r w:rsidR="00C623FC"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et </w:t>
                        </w: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CellQuanti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-MTT™:</w:t>
                        </w:r>
                      </w:p>
                      <w:p w:rsidR="00586C2B" w:rsidRPr="00C623FC" w:rsidRDefault="00C623FC" w:rsidP="00C623FC">
                        <w:pPr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</w:pP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Colorimétrique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, non-radioactif</w:t>
                        </w:r>
                        <w:r w:rsidR="00586C2B"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facile et haute sensibilité pour les</w:t>
                        </w:r>
                        <w:r w:rsidR="00586C2B"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prolifération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s cellulaires, </w:t>
                        </w:r>
                        <w:proofErr w:type="spellStart"/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cytotoxicité</w:t>
                        </w:r>
                        <w:proofErr w:type="spellEnd"/>
                        <w:r w:rsidR="00586C2B"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facteurs de croissance, cytokines, nutriments, antibiotiques et</w:t>
                        </w:r>
                        <w:r w:rsidR="00586C2B"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agents </w:t>
                        </w:r>
                        <w:r w:rsidR="00586C2B"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anti-cancer.</w:t>
                        </w:r>
                      </w:p>
                      <w:p w:rsidR="00586C2B" w:rsidRPr="00C623FC" w:rsidRDefault="00586C2B" w:rsidP="006E098B">
                        <w:pP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</w:p>
                      <w:p w:rsidR="00586C2B" w:rsidRPr="00C623FC" w:rsidRDefault="00586C2B" w:rsidP="0064603B">
                        <w:pPr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</w:pP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Bioassay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 Kits</w:t>
                        </w:r>
                      </w:p>
                      <w:p w:rsidR="00586C2B" w:rsidRPr="00C623FC" w:rsidRDefault="00586C2B" w:rsidP="0064603B">
                        <w:pP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</w:p>
                      <w:p w:rsidR="00586C2B" w:rsidRPr="00C623FC" w:rsidRDefault="00586C2B" w:rsidP="0064603B">
                        <w:pP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QuantiChrom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™ </w:t>
                        </w: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Assay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 Kits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: </w:t>
                        </w:r>
                        <w:r w:rsid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Kits Quantitatifs chimiques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et </w:t>
                        </w:r>
                        <w:proofErr w:type="spellStart"/>
                        <w:r w:rsid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fluorimétrique</w:t>
                        </w:r>
                        <w:proofErr w:type="spellEnd"/>
                        <w:r w:rsid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pour la découverte de molécules, pharmacologie et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="00C623FC"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déterminations</w:t>
                        </w:r>
                        <w:r w:rsid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directement dans des échantillons biologiques complexes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="00657679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la nourriture, les boissons…</w:t>
                        </w:r>
                      </w:p>
                      <w:p w:rsidR="00586C2B" w:rsidRPr="00C623FC" w:rsidRDefault="00586C2B" w:rsidP="0064603B">
                        <w:pP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EnzyChrom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™ </w:t>
                        </w: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Assay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 Kits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: </w:t>
                        </w:r>
                        <w:r w:rsidR="00E97CD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Kits enzymatiques quantitatifs pour la découverte de molécule, pharmacologie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="00E97CD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et </w:t>
                        </w:r>
                        <w:proofErr w:type="spellStart"/>
                        <w:r w:rsidR="00E97CD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determinations</w:t>
                        </w:r>
                        <w:proofErr w:type="spellEnd"/>
                        <w:r w:rsidR="00E97CD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directes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="00E97CD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dans des échantillons biologiques complexes</w:t>
                        </w:r>
                        <w:r w:rsidR="00E97CDB"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="00E97CD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la nourriture, les boissons…</w:t>
                        </w:r>
                      </w:p>
                      <w:p w:rsidR="00586C2B" w:rsidRPr="00C623FC" w:rsidRDefault="00586C2B" w:rsidP="00BA2397">
                        <w:pP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Saccharide </w:t>
                        </w: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Removal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 kit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: </w:t>
                        </w:r>
                        <w:r w:rsidR="00E97CD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Enlève de manière quantitative les 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saccharides (glucose, sucrose)</w:t>
                        </w:r>
                        <w:r w:rsidR="00E97CD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qui interfèrent dans un échantillon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. </w:t>
                        </w:r>
                        <w:r w:rsidR="00E97CD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Doit être utilisé avec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QuantiChrom</w:t>
                        </w:r>
                        <w:proofErr w:type="spellEnd"/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™ Ethanol </w:t>
                        </w:r>
                        <w:proofErr w:type="spellStart"/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Assay</w:t>
                        </w:r>
                        <w:proofErr w:type="spellEnd"/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Kit DIET-500.</w:t>
                        </w:r>
                      </w:p>
                      <w:p w:rsidR="00586C2B" w:rsidRPr="00C623FC" w:rsidRDefault="00586C2B" w:rsidP="006E098B">
                        <w:pP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</w:p>
                      <w:p w:rsidR="00586C2B" w:rsidRPr="00C623FC" w:rsidRDefault="00586C2B" w:rsidP="006E098B">
                        <w:pPr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</w:pPr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Phosphatase </w:t>
                        </w: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Assay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 Kits</w:t>
                        </w:r>
                      </w:p>
                      <w:p w:rsidR="00586C2B" w:rsidRPr="00C623FC" w:rsidRDefault="00586C2B" w:rsidP="006E098B">
                        <w:pP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</w:p>
                      <w:p w:rsidR="00586C2B" w:rsidRPr="00C623FC" w:rsidRDefault="00586C2B" w:rsidP="006E098B">
                        <w:pP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proofErr w:type="spellStart"/>
                        <w:proofErr w:type="gram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pNPP</w:t>
                        </w:r>
                        <w:proofErr w:type="spellEnd"/>
                        <w:proofErr w:type="gram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 Phosphatase </w:t>
                        </w: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Assay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 Kits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: simple, </w:t>
                        </w:r>
                        <w:r w:rsidR="00E97CD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efficace et d’une haute sensibilité pour l’activité des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phosphatase</w:t>
                        </w:r>
                        <w:r w:rsidR="00E97CD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r w:rsidR="00E97CD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la cinétique des 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enzyme</w:t>
                        </w:r>
                        <w:r w:rsidR="00E97CD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="00E97CD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et pour les inhibiteurs de phosphatase.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  <w:p w:rsidR="00586C2B" w:rsidRPr="00C623FC" w:rsidRDefault="00586C2B" w:rsidP="006E098B">
                        <w:pP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Malachite Green Phosphate </w:t>
                        </w: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Assay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 Kits</w:t>
                        </w:r>
                        <w:r w:rsidR="00B67DF2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: rapide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r w:rsidR="00B67DF2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simple, efficace et d’une haute sensibilité pour la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phosphatase, </w:t>
                        </w:r>
                        <w:proofErr w:type="spellStart"/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phospholipase</w:t>
                        </w:r>
                        <w:proofErr w:type="spellEnd"/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r w:rsidR="00B67DF2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les inhibiteurs d’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enzyme</w:t>
                        </w:r>
                        <w:r w:rsidR="00B67DF2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s…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  <w:p w:rsidR="00586C2B" w:rsidRPr="00C623FC" w:rsidRDefault="00586C2B" w:rsidP="006E098B">
                        <w:pP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</w:p>
                      <w:p w:rsidR="00586C2B" w:rsidRPr="00C623FC" w:rsidRDefault="00586C2B" w:rsidP="00BA2397">
                        <w:pPr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</w:pPr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Bioluminescence </w:t>
                        </w: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Assay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 Kits</w:t>
                        </w:r>
                      </w:p>
                      <w:p w:rsidR="00586C2B" w:rsidRPr="00C623FC" w:rsidRDefault="00586C2B" w:rsidP="006E098B">
                        <w:pP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</w:p>
                      <w:p w:rsidR="00586C2B" w:rsidRPr="00C623FC" w:rsidRDefault="00586C2B" w:rsidP="0064603B">
                        <w:pP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SuperLight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™ </w:t>
                        </w: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Luciferase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 Reporter Gene </w:t>
                        </w: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Assay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 xml:space="preserve"> Kits</w:t>
                        </w:r>
                        <w:r w:rsidR="00A0735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: rapide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r w:rsidR="00A0735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simple et d’une haute sensibilité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r w:rsidR="00A0735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pour la régulation des gènes et pour les modulateurs de l’expression des gènes. Idéalement formulé pour les récepteurs impliqués dans la régulation des gènes comme </w:t>
                        </w:r>
                        <w:proofErr w:type="spellStart"/>
                        <w:r w:rsidR="00A0735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Gs</w:t>
                        </w:r>
                        <w:proofErr w:type="spellEnd"/>
                        <w:r w:rsidR="00A0735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- et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Gq</w:t>
                        </w:r>
                        <w:proofErr w:type="spellEnd"/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GPCRs. </w:t>
                        </w:r>
                      </w:p>
                      <w:p w:rsidR="00586C2B" w:rsidRPr="00C623FC" w:rsidRDefault="00586C2B" w:rsidP="00BA2397">
                        <w:pP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proofErr w:type="spellStart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EnzyLight</w:t>
                        </w:r>
                        <w:proofErr w:type="spellEnd"/>
                        <w:r w:rsidRPr="00C623FC">
                          <w:rPr>
                            <w:rFonts w:cs="Arial"/>
                            <w:b/>
                            <w:sz w:val="18"/>
                            <w:szCs w:val="18"/>
                            <w:lang w:val="fr-FR"/>
                          </w:rPr>
                          <w:t>™ Bioluminescence kits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: </w:t>
                        </w:r>
                        <w:r w:rsidR="00A0735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Détermination 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Rapid</w:t>
                        </w:r>
                        <w:r w:rsidR="00A0735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e, quantitatif, bioluminescente des concentrations de cellules d’ATP concentration et </w:t>
                        </w:r>
                        <w:proofErr w:type="gramStart"/>
                        <w:r w:rsidR="00A0735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proofErr w:type="gramEnd"/>
                        <w:r w:rsidR="00A0735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ration ADP/ATP</w:t>
                        </w:r>
                        <w:r w:rsidRPr="00C623FC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:rsidR="00586C2B" w:rsidRPr="00C623FC" w:rsidRDefault="00586C2B" w:rsidP="0064603B">
                        <w:pPr>
                          <w:rPr>
                            <w:sz w:val="17"/>
                            <w:szCs w:val="17"/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  <w:r w:rsidR="006F0F0D" w:rsidRPr="00C623FC">
              <w:rPr>
                <w:rFonts w:cs="Arial"/>
                <w:sz w:val="17"/>
                <w:szCs w:val="17"/>
              </w:rPr>
              <w:t xml:space="preserve">€ </w:t>
            </w:r>
            <w:r w:rsidR="006F0F0D" w:rsidRPr="00C623FC">
              <w:rPr>
                <w:rFonts w:eastAsia="Times New Roman" w:cs="Arial"/>
                <w:sz w:val="16"/>
                <w:szCs w:val="16"/>
              </w:rPr>
              <w:t>299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DIAG-250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BCG Albumin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247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DIAP-250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BCP Albumin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247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DIBR-180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™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Bilirubin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236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DICA-500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Calcium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268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DICL-250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Chloride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216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5E4E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noProof/>
                <w:sz w:val="17"/>
                <w:szCs w:val="17"/>
              </w:rPr>
              <w:pict>
                <v:rect id="_x0000_s1149" style="position:absolute;margin-left:-9.2pt;margin-top:-.1pt;width:324.55pt;height:9.15pt;z-index:-251521024;mso-position-horizontal-relative:text;mso-position-vertical-relative:text" fillcolor="#c7dcfd" stroked="f"/>
              </w:pict>
            </w:r>
            <w:r w:rsidR="006F0F0D" w:rsidRPr="00C623FC">
              <w:rPr>
                <w:rFonts w:eastAsia="Times New Roman" w:cs="Arial"/>
                <w:sz w:val="16"/>
                <w:szCs w:val="16"/>
              </w:rPr>
              <w:t>DICT-500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™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Creatinine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278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DICU-250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Copper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382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DIET-500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Ethanol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361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DSRK-500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Saccharide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Removal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122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DIFE-250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Iron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288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DIGL-100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Glucose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216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 xml:space="preserve">DIGL-200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Glucose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257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5E4E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noProof/>
                <w:sz w:val="17"/>
                <w:szCs w:val="17"/>
              </w:rPr>
              <w:pict>
                <v:rect id="_x0000_s1150" style="position:absolute;margin-left:-9.4pt;margin-top:.45pt;width:324.55pt;height:9.15pt;z-index:-251520000;mso-position-horizontal-relative:text;mso-position-vertical-relative:text" fillcolor="#c7dcfd" stroked="f"/>
              </w:pict>
            </w:r>
            <w:r w:rsidR="006F0F0D" w:rsidRPr="00C623FC">
              <w:rPr>
                <w:rFonts w:eastAsia="Times New Roman" w:cs="Arial"/>
                <w:sz w:val="16"/>
                <w:szCs w:val="16"/>
              </w:rPr>
              <w:t>DIGT-250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Glutathione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299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DIHB-250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Hemoglobin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257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DIHM-250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™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Heme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247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DIMG-250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Magnesium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278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5E4E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noProof/>
                <w:sz w:val="6"/>
                <w:szCs w:val="6"/>
              </w:rPr>
              <w:pict>
                <v:rect id="_x0000_s1147" style="position:absolute;margin-left:-9.2pt;margin-top:.05pt;width:324.25pt;height:21.2pt;z-index:-251523072;mso-position-horizontal-relative:text;mso-position-vertical-relative:text" fillcolor="#c7dcfd" stroked="f"/>
              </w:pict>
            </w:r>
            <w:r w:rsidR="006F0F0D" w:rsidRPr="00C623FC">
              <w:rPr>
                <w:rFonts w:eastAsia="Times New Roman" w:cs="Arial"/>
                <w:sz w:val="16"/>
                <w:szCs w:val="16"/>
              </w:rPr>
              <w:t>DINO-250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Nitric Oxide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288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DIOX-250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Peroxide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247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DIPI-500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Phosphate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257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DIUA-250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Uric Acid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299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5E4E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noProof/>
                <w:sz w:val="17"/>
                <w:szCs w:val="17"/>
              </w:rPr>
              <w:pict>
                <v:rect id="_x0000_s1148" style="position:absolute;margin-left:-9.45pt;margin-top:1.45pt;width:324.55pt;height:9.15pt;z-index:-251522048;mso-position-horizontal-relative:text;mso-position-vertical-relative:text" fillcolor="#c7dcfd" stroked="f"/>
              </w:pict>
            </w:r>
            <w:r w:rsidR="006F0F0D" w:rsidRPr="00C623FC">
              <w:rPr>
                <w:rFonts w:eastAsia="Times New Roman" w:cs="Arial"/>
                <w:sz w:val="16"/>
                <w:szCs w:val="16"/>
              </w:rPr>
              <w:t>DIUR-500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Urea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278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DIZN-250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™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ZincAssay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372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DLDH-100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™ Lactate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Dehydrogenase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236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DLPS-100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 Lipase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340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DSFT-200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Sulfate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268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QCPR-500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Protein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153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QFDN-250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QuantiChrom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DNA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247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ECCH-100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EnzyChrom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Cholesterol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299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5E4E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noProof/>
                <w:sz w:val="6"/>
                <w:szCs w:val="6"/>
              </w:rPr>
              <w:pict>
                <v:rect id="_x0000_s1133" style="position:absolute;margin-left:-9.4pt;margin-top:1.5pt;width:324.75pt;height:9.15pt;z-index:-251532288;mso-position-horizontal-relative:text;mso-position-vertical-relative:text" fillcolor="#c7dcfd" stroked="f"/>
              </w:pict>
            </w:r>
            <w:r w:rsidR="006F0F0D" w:rsidRPr="00C623FC">
              <w:rPr>
                <w:rFonts w:eastAsia="Times New Roman" w:cs="Arial"/>
                <w:sz w:val="16"/>
                <w:szCs w:val="16"/>
              </w:rPr>
              <w:t>ECET-100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EnzyChrom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Ethanol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278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ECLC-100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EnzyChrom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Lactate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299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ECND-100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EnzyChrom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NAD/NADH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320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ECNP-100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EnzyChrom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NADP/NADPH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320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5E4E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noProof/>
                <w:sz w:val="6"/>
                <w:szCs w:val="6"/>
              </w:rPr>
              <w:pict>
                <v:rect id="_x0000_s1135" style="position:absolute;margin-left:-9.5pt;margin-top:1.95pt;width:324.55pt;height:9.15pt;z-index:-251530240;mso-position-horizontal-relative:text;mso-position-vertical-relative:text" fillcolor="#c7dcfd" stroked="f"/>
              </w:pict>
            </w:r>
            <w:r w:rsidR="006F0F0D" w:rsidRPr="00C623FC">
              <w:rPr>
                <w:rFonts w:eastAsia="Times New Roman" w:cs="Arial"/>
                <w:sz w:val="16"/>
                <w:szCs w:val="16"/>
              </w:rPr>
              <w:t>ECPK-100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EnzyChrom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™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Creatine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Kinase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372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6F0F0D" w:rsidRPr="00C623FC" w:rsidTr="0001536E">
        <w:trPr>
          <w:trHeight w:val="198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0D" w:rsidRPr="00C623FC" w:rsidRDefault="00537FBB" w:rsidP="006F0F0D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b/>
                <w:bCs/>
                <w:sz w:val="16"/>
                <w:szCs w:val="16"/>
              </w:rPr>
              <w:t>Phosphatase</w:t>
            </w:r>
            <w:proofErr w:type="spellEnd"/>
            <w:r w:rsidRPr="00C623FC">
              <w:rPr>
                <w:rFonts w:eastAsia="Times New Roman" w:cs="Arial"/>
                <w:b/>
                <w:bCs/>
                <w:sz w:val="16"/>
                <w:szCs w:val="16"/>
              </w:rPr>
              <w:t xml:space="preserve"> Assay Kits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POMG-25H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Malachite Green Phosphate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143</w:t>
            </w:r>
          </w:p>
        </w:tc>
      </w:tr>
      <w:tr w:rsidR="006F0F0D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POPB-500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PiBlue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Phosphate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D" w:rsidRPr="00C623FC" w:rsidRDefault="006F0F0D" w:rsidP="006F0F0D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153</w:t>
            </w:r>
          </w:p>
        </w:tc>
      </w:tr>
      <w:tr w:rsidR="00052B34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POPN-500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pNPP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Phosphatase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143</w:t>
            </w:r>
          </w:p>
        </w:tc>
      </w:tr>
      <w:tr w:rsidR="00052B34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POPN-01K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pNPP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Phosphatase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226</w:t>
            </w:r>
          </w:p>
        </w:tc>
      </w:tr>
      <w:tr w:rsidR="00052B34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52B34" w:rsidRPr="00C623FC" w:rsidTr="0001536E">
        <w:trPr>
          <w:trHeight w:val="198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623FC">
              <w:rPr>
                <w:rFonts w:eastAsia="Times New Roman" w:cs="Arial"/>
                <w:b/>
                <w:bCs/>
                <w:sz w:val="16"/>
                <w:szCs w:val="16"/>
              </w:rPr>
              <w:t>Bioluminescence Assay Kits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52B34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SLLU-200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SuperLight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™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Luciferase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Reporter Gene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122</w:t>
            </w:r>
          </w:p>
        </w:tc>
      </w:tr>
      <w:tr w:rsidR="00052B34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SLLU-500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SuperLight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™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Luciferase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Reporter Gene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226</w:t>
            </w:r>
          </w:p>
        </w:tc>
      </w:tr>
      <w:tr w:rsidR="00052B34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SLLU-01K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SuperLight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™ </w:t>
            </w: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Luciferase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 xml:space="preserve"> Reporter Gene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392</w:t>
            </w:r>
          </w:p>
        </w:tc>
      </w:tr>
      <w:tr w:rsidR="00052B34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ELDT-100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EnzyLight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ADP/ATP Ratio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257</w:t>
            </w:r>
          </w:p>
        </w:tc>
      </w:tr>
      <w:tr w:rsidR="00052B34" w:rsidRPr="00C623FC" w:rsidTr="0001536E">
        <w:trPr>
          <w:trHeight w:val="1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EATP-100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C623FC">
              <w:rPr>
                <w:rFonts w:eastAsia="Times New Roman" w:cs="Arial"/>
                <w:sz w:val="16"/>
                <w:szCs w:val="16"/>
              </w:rPr>
              <w:t>EnzyLight</w:t>
            </w:r>
            <w:proofErr w:type="spellEnd"/>
            <w:r w:rsidRPr="00C623FC">
              <w:rPr>
                <w:rFonts w:eastAsia="Times New Roman" w:cs="Arial"/>
                <w:sz w:val="16"/>
                <w:szCs w:val="16"/>
              </w:rPr>
              <w:t>™ ATP Assay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eastAsia="Times New Roman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B34" w:rsidRPr="00C623FC" w:rsidRDefault="00052B34" w:rsidP="00052B34">
            <w:pPr>
              <w:rPr>
                <w:rFonts w:eastAsia="Times New Roman" w:cs="Arial"/>
                <w:sz w:val="16"/>
                <w:szCs w:val="16"/>
              </w:rPr>
            </w:pPr>
            <w:r w:rsidRPr="00C623FC">
              <w:rPr>
                <w:rFonts w:cs="Arial"/>
                <w:sz w:val="17"/>
                <w:szCs w:val="17"/>
              </w:rPr>
              <w:t xml:space="preserve">€ </w:t>
            </w:r>
            <w:r w:rsidRPr="00C623FC">
              <w:rPr>
                <w:rFonts w:eastAsia="Times New Roman" w:cs="Arial"/>
                <w:sz w:val="16"/>
                <w:szCs w:val="16"/>
              </w:rPr>
              <w:t>247</w:t>
            </w:r>
          </w:p>
        </w:tc>
      </w:tr>
    </w:tbl>
    <w:p w:rsidR="003C422C" w:rsidRDefault="00E960DE" w:rsidP="00E960DE">
      <w:pPr>
        <w:tabs>
          <w:tab w:val="left" w:pos="7230"/>
        </w:tabs>
        <w:ind w:right="4704"/>
        <w:rPr>
          <w:rFonts w:ascii="Arial" w:hAnsi="Arial" w:cs="Arial"/>
          <w:sz w:val="16"/>
          <w:szCs w:val="16"/>
        </w:rPr>
      </w:pPr>
      <w:r w:rsidRPr="001630FB">
        <w:rPr>
          <w:rFonts w:ascii="Arial" w:hAnsi="Arial" w:cs="Arial"/>
          <w:sz w:val="20"/>
          <w:szCs w:val="20"/>
        </w:rPr>
        <w:br w:type="textWrapping" w:clear="all"/>
      </w:r>
    </w:p>
    <w:p w:rsidR="001153A8" w:rsidRPr="001630FB" w:rsidRDefault="001153A8" w:rsidP="00E960DE">
      <w:pPr>
        <w:tabs>
          <w:tab w:val="left" w:pos="7230"/>
        </w:tabs>
        <w:ind w:right="4704"/>
        <w:rPr>
          <w:rFonts w:ascii="Arial" w:hAnsi="Arial" w:cs="Arial"/>
          <w:b/>
          <w:sz w:val="18"/>
          <w:szCs w:val="18"/>
        </w:rPr>
      </w:pPr>
    </w:p>
    <w:p w:rsidR="00BE0560" w:rsidRDefault="00BE0560" w:rsidP="00E960DE">
      <w:pPr>
        <w:tabs>
          <w:tab w:val="left" w:pos="7230"/>
        </w:tabs>
        <w:ind w:right="4704"/>
        <w:rPr>
          <w:rFonts w:ascii="Arial" w:hAnsi="Arial" w:cs="Arial"/>
          <w:b/>
          <w:sz w:val="28"/>
          <w:szCs w:val="28"/>
        </w:rPr>
      </w:pPr>
    </w:p>
    <w:sectPr w:rsidR="00BE0560" w:rsidSect="009D4D19">
      <w:pgSz w:w="11907" w:h="16839" w:code="9"/>
      <w:pgMar w:top="720" w:right="720" w:bottom="720" w:left="720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2B" w:rsidRDefault="00586C2B" w:rsidP="008F51D6">
      <w:r>
        <w:separator/>
      </w:r>
    </w:p>
  </w:endnote>
  <w:endnote w:type="continuationSeparator" w:id="1">
    <w:p w:rsidR="00586C2B" w:rsidRDefault="00586C2B" w:rsidP="008F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2B" w:rsidRDefault="00586C2B" w:rsidP="008F51D6">
      <w:r>
        <w:separator/>
      </w:r>
    </w:p>
  </w:footnote>
  <w:footnote w:type="continuationSeparator" w:id="1">
    <w:p w:rsidR="00586C2B" w:rsidRDefault="00586C2B" w:rsidP="008F5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pt" o:bullet="t">
        <v:imagedata r:id="rId1" o:title="bull1_journal"/>
      </v:shape>
    </w:pict>
  </w:numPicBullet>
  <w:numPicBullet w:numPicBulletId="1">
    <w:pict>
      <v:shape id="_x0000_i1027" type="#_x0000_t75" style="width:3.75pt;height:9pt" o:bullet="t">
        <v:imagedata r:id="rId2" o:title="bull2_journal"/>
      </v:shape>
    </w:pict>
  </w:numPicBullet>
  <w:numPicBullet w:numPicBulletId="2">
    <w:pict>
      <v:shape id="_x0000_i1028" type="#_x0000_t75" style="width:3.75pt;height:9pt" o:bullet="t">
        <v:imagedata r:id="rId3" o:title="bull3_journal"/>
      </v:shape>
    </w:pict>
  </w:numPicBullet>
  <w:abstractNum w:abstractNumId="0">
    <w:nsid w:val="00DF2008"/>
    <w:multiLevelType w:val="hybridMultilevel"/>
    <w:tmpl w:val="0D48EFC0"/>
    <w:lvl w:ilvl="0" w:tplc="4AF04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E9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6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CB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CA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81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CF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E6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95520A"/>
    <w:multiLevelType w:val="multilevel"/>
    <w:tmpl w:val="414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54C64"/>
    <w:multiLevelType w:val="hybridMultilevel"/>
    <w:tmpl w:val="D5F48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346E"/>
    <w:multiLevelType w:val="hybridMultilevel"/>
    <w:tmpl w:val="604A6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149AC"/>
    <w:multiLevelType w:val="hybridMultilevel"/>
    <w:tmpl w:val="049C3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A45B9"/>
    <w:multiLevelType w:val="hybridMultilevel"/>
    <w:tmpl w:val="30C0B8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47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6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CD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D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AF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6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6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536578"/>
    <w:multiLevelType w:val="multilevel"/>
    <w:tmpl w:val="FC7831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963BA"/>
    <w:multiLevelType w:val="hybridMultilevel"/>
    <w:tmpl w:val="539A9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55D72"/>
    <w:multiLevelType w:val="hybridMultilevel"/>
    <w:tmpl w:val="7138F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75EF"/>
    <w:multiLevelType w:val="hybridMultilevel"/>
    <w:tmpl w:val="491E9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30BBD"/>
    <w:multiLevelType w:val="hybridMultilevel"/>
    <w:tmpl w:val="15801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B7EA9"/>
    <w:multiLevelType w:val="hybridMultilevel"/>
    <w:tmpl w:val="CD34ED58"/>
    <w:lvl w:ilvl="0" w:tplc="0E0AF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07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7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96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85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6E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E4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CB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AB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609341E"/>
    <w:multiLevelType w:val="hybridMultilevel"/>
    <w:tmpl w:val="5872977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F2029F"/>
    <w:multiLevelType w:val="hybridMultilevel"/>
    <w:tmpl w:val="9B0CC7EC"/>
    <w:lvl w:ilvl="0" w:tplc="5EDE0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F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C0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A6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68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A3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C1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C2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87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FB7AE2"/>
    <w:multiLevelType w:val="hybridMultilevel"/>
    <w:tmpl w:val="30F8E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34949"/>
    <w:multiLevelType w:val="hybridMultilevel"/>
    <w:tmpl w:val="78CEE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031FF"/>
    <w:multiLevelType w:val="hybridMultilevel"/>
    <w:tmpl w:val="7584E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569D3"/>
    <w:multiLevelType w:val="hybridMultilevel"/>
    <w:tmpl w:val="046637E2"/>
    <w:lvl w:ilvl="0" w:tplc="E650083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57461"/>
    <w:multiLevelType w:val="hybridMultilevel"/>
    <w:tmpl w:val="E78A3EAA"/>
    <w:lvl w:ilvl="0" w:tplc="5F3E2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47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6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CD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D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AF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6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6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A0E45EA"/>
    <w:multiLevelType w:val="hybridMultilevel"/>
    <w:tmpl w:val="EAD0D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32DA7"/>
    <w:multiLevelType w:val="hybridMultilevel"/>
    <w:tmpl w:val="5AF62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F1766"/>
    <w:multiLevelType w:val="hybridMultilevel"/>
    <w:tmpl w:val="D4EE5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B6C08"/>
    <w:multiLevelType w:val="hybridMultilevel"/>
    <w:tmpl w:val="97AC2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93972"/>
    <w:multiLevelType w:val="hybridMultilevel"/>
    <w:tmpl w:val="24CCF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95C40"/>
    <w:multiLevelType w:val="hybridMultilevel"/>
    <w:tmpl w:val="85385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E75C9"/>
    <w:multiLevelType w:val="hybridMultilevel"/>
    <w:tmpl w:val="FF724980"/>
    <w:lvl w:ilvl="0" w:tplc="7F8CAE6C">
      <w:start w:val="3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9C3646"/>
    <w:multiLevelType w:val="hybridMultilevel"/>
    <w:tmpl w:val="C27CB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A4E94"/>
    <w:multiLevelType w:val="hybridMultilevel"/>
    <w:tmpl w:val="9D649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D105A"/>
    <w:multiLevelType w:val="hybridMultilevel"/>
    <w:tmpl w:val="F4FAD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700BF"/>
    <w:multiLevelType w:val="hybridMultilevel"/>
    <w:tmpl w:val="8FA66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D2BCF"/>
    <w:multiLevelType w:val="hybridMultilevel"/>
    <w:tmpl w:val="A168A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435B8"/>
    <w:multiLevelType w:val="hybridMultilevel"/>
    <w:tmpl w:val="FC60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B6426"/>
    <w:multiLevelType w:val="hybridMultilevel"/>
    <w:tmpl w:val="98464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D7146"/>
    <w:multiLevelType w:val="hybridMultilevel"/>
    <w:tmpl w:val="B88EA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C7BD9"/>
    <w:multiLevelType w:val="hybridMultilevel"/>
    <w:tmpl w:val="F632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869E9"/>
    <w:multiLevelType w:val="hybridMultilevel"/>
    <w:tmpl w:val="C3A4F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F0C2B"/>
    <w:multiLevelType w:val="hybridMultilevel"/>
    <w:tmpl w:val="06C4C9FC"/>
    <w:lvl w:ilvl="0" w:tplc="15663E08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C44E6"/>
    <w:multiLevelType w:val="hybridMultilevel"/>
    <w:tmpl w:val="D1380E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47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6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CD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D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AF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6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6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9EB7A87"/>
    <w:multiLevelType w:val="multilevel"/>
    <w:tmpl w:val="C4EAF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2872EB"/>
    <w:multiLevelType w:val="hybridMultilevel"/>
    <w:tmpl w:val="CDD4E5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0"/>
  </w:num>
  <w:num w:numId="5">
    <w:abstractNumId w:val="19"/>
  </w:num>
  <w:num w:numId="6">
    <w:abstractNumId w:val="18"/>
  </w:num>
  <w:num w:numId="7">
    <w:abstractNumId w:val="37"/>
  </w:num>
  <w:num w:numId="8">
    <w:abstractNumId w:val="5"/>
  </w:num>
  <w:num w:numId="9">
    <w:abstractNumId w:val="39"/>
  </w:num>
  <w:num w:numId="10">
    <w:abstractNumId w:val="32"/>
  </w:num>
  <w:num w:numId="11">
    <w:abstractNumId w:val="35"/>
  </w:num>
  <w:num w:numId="12">
    <w:abstractNumId w:val="28"/>
  </w:num>
  <w:num w:numId="13">
    <w:abstractNumId w:val="34"/>
  </w:num>
  <w:num w:numId="14">
    <w:abstractNumId w:val="4"/>
  </w:num>
  <w:num w:numId="15">
    <w:abstractNumId w:val="15"/>
  </w:num>
  <w:num w:numId="16">
    <w:abstractNumId w:val="8"/>
  </w:num>
  <w:num w:numId="17">
    <w:abstractNumId w:val="30"/>
  </w:num>
  <w:num w:numId="18">
    <w:abstractNumId w:val="16"/>
  </w:num>
  <w:num w:numId="19">
    <w:abstractNumId w:val="3"/>
  </w:num>
  <w:num w:numId="20">
    <w:abstractNumId w:val="38"/>
  </w:num>
  <w:num w:numId="21">
    <w:abstractNumId w:val="20"/>
  </w:num>
  <w:num w:numId="22">
    <w:abstractNumId w:val="29"/>
  </w:num>
  <w:num w:numId="23">
    <w:abstractNumId w:val="27"/>
  </w:num>
  <w:num w:numId="24">
    <w:abstractNumId w:val="9"/>
  </w:num>
  <w:num w:numId="25">
    <w:abstractNumId w:val="22"/>
  </w:num>
  <w:num w:numId="26">
    <w:abstractNumId w:val="12"/>
  </w:num>
  <w:num w:numId="27">
    <w:abstractNumId w:val="36"/>
  </w:num>
  <w:num w:numId="28">
    <w:abstractNumId w:val="25"/>
  </w:num>
  <w:num w:numId="29">
    <w:abstractNumId w:val="33"/>
  </w:num>
  <w:num w:numId="30">
    <w:abstractNumId w:val="31"/>
  </w:num>
  <w:num w:numId="31">
    <w:abstractNumId w:val="26"/>
  </w:num>
  <w:num w:numId="32">
    <w:abstractNumId w:val="7"/>
  </w:num>
  <w:num w:numId="33">
    <w:abstractNumId w:val="24"/>
  </w:num>
  <w:num w:numId="34">
    <w:abstractNumId w:val="14"/>
  </w:num>
  <w:num w:numId="35">
    <w:abstractNumId w:val="2"/>
  </w:num>
  <w:num w:numId="36">
    <w:abstractNumId w:val="23"/>
  </w:num>
  <w:num w:numId="37">
    <w:abstractNumId w:val="6"/>
  </w:num>
  <w:num w:numId="38">
    <w:abstractNumId w:val="1"/>
  </w:num>
  <w:num w:numId="39">
    <w:abstractNumId w:val="21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none [671]"/>
    </o:shapedefaults>
  </w:hdrShapeDefaults>
  <w:footnotePr>
    <w:footnote w:id="0"/>
    <w:footnote w:id="1"/>
  </w:footnotePr>
  <w:endnotePr>
    <w:endnote w:id="0"/>
    <w:endnote w:id="1"/>
  </w:endnotePr>
  <w:compat/>
  <w:rsids>
    <w:rsidRoot w:val="00E960DE"/>
    <w:rsid w:val="000036F0"/>
    <w:rsid w:val="00010637"/>
    <w:rsid w:val="0001449E"/>
    <w:rsid w:val="0001536E"/>
    <w:rsid w:val="00020229"/>
    <w:rsid w:val="0002160D"/>
    <w:rsid w:val="000462FA"/>
    <w:rsid w:val="0005190C"/>
    <w:rsid w:val="00052B34"/>
    <w:rsid w:val="00053509"/>
    <w:rsid w:val="0006292C"/>
    <w:rsid w:val="00071C96"/>
    <w:rsid w:val="00072D4D"/>
    <w:rsid w:val="00094B8C"/>
    <w:rsid w:val="000A05D0"/>
    <w:rsid w:val="000A3492"/>
    <w:rsid w:val="000A456F"/>
    <w:rsid w:val="000A5858"/>
    <w:rsid w:val="000B06CE"/>
    <w:rsid w:val="000B2056"/>
    <w:rsid w:val="000B70B5"/>
    <w:rsid w:val="000C1FC8"/>
    <w:rsid w:val="000C36B3"/>
    <w:rsid w:val="000C7250"/>
    <w:rsid w:val="000E2DBA"/>
    <w:rsid w:val="000E4EC5"/>
    <w:rsid w:val="000F0167"/>
    <w:rsid w:val="001102B7"/>
    <w:rsid w:val="001153A8"/>
    <w:rsid w:val="001277FE"/>
    <w:rsid w:val="0013227D"/>
    <w:rsid w:val="00142FAD"/>
    <w:rsid w:val="001630FB"/>
    <w:rsid w:val="001664D9"/>
    <w:rsid w:val="001713DC"/>
    <w:rsid w:val="00182F8F"/>
    <w:rsid w:val="00183AE1"/>
    <w:rsid w:val="001941F2"/>
    <w:rsid w:val="001B1036"/>
    <w:rsid w:val="001E5784"/>
    <w:rsid w:val="001E623D"/>
    <w:rsid w:val="001E7F04"/>
    <w:rsid w:val="001F0C7E"/>
    <w:rsid w:val="001F551C"/>
    <w:rsid w:val="001F74E5"/>
    <w:rsid w:val="00217B21"/>
    <w:rsid w:val="002205A9"/>
    <w:rsid w:val="002211A4"/>
    <w:rsid w:val="0022639A"/>
    <w:rsid w:val="00236BA2"/>
    <w:rsid w:val="0025229D"/>
    <w:rsid w:val="00285BF7"/>
    <w:rsid w:val="00291D69"/>
    <w:rsid w:val="00292272"/>
    <w:rsid w:val="002A1053"/>
    <w:rsid w:val="002A1EC8"/>
    <w:rsid w:val="002A3580"/>
    <w:rsid w:val="002A4076"/>
    <w:rsid w:val="002A4470"/>
    <w:rsid w:val="002B0CA1"/>
    <w:rsid w:val="002B6B4B"/>
    <w:rsid w:val="002C1F63"/>
    <w:rsid w:val="002C749E"/>
    <w:rsid w:val="002E400F"/>
    <w:rsid w:val="002E7FF8"/>
    <w:rsid w:val="002F12D5"/>
    <w:rsid w:val="003028B8"/>
    <w:rsid w:val="00305997"/>
    <w:rsid w:val="00322184"/>
    <w:rsid w:val="00330D10"/>
    <w:rsid w:val="003363C5"/>
    <w:rsid w:val="00343A5B"/>
    <w:rsid w:val="00344BD1"/>
    <w:rsid w:val="003478F8"/>
    <w:rsid w:val="003515C5"/>
    <w:rsid w:val="003757F0"/>
    <w:rsid w:val="00386609"/>
    <w:rsid w:val="00392CDC"/>
    <w:rsid w:val="003949DB"/>
    <w:rsid w:val="0039656E"/>
    <w:rsid w:val="003A0BF7"/>
    <w:rsid w:val="003A2A96"/>
    <w:rsid w:val="003A2EB3"/>
    <w:rsid w:val="003C422C"/>
    <w:rsid w:val="003C4538"/>
    <w:rsid w:val="003D5353"/>
    <w:rsid w:val="003E2247"/>
    <w:rsid w:val="003E7DBC"/>
    <w:rsid w:val="003F07D4"/>
    <w:rsid w:val="003F28C4"/>
    <w:rsid w:val="003F55F4"/>
    <w:rsid w:val="00400875"/>
    <w:rsid w:val="0040146C"/>
    <w:rsid w:val="0040632B"/>
    <w:rsid w:val="0040705D"/>
    <w:rsid w:val="00411138"/>
    <w:rsid w:val="00412BBD"/>
    <w:rsid w:val="00416A36"/>
    <w:rsid w:val="00440B5C"/>
    <w:rsid w:val="00453E63"/>
    <w:rsid w:val="004555A8"/>
    <w:rsid w:val="00460F1D"/>
    <w:rsid w:val="00461331"/>
    <w:rsid w:val="00462DF2"/>
    <w:rsid w:val="004656FB"/>
    <w:rsid w:val="00470EBF"/>
    <w:rsid w:val="0047426C"/>
    <w:rsid w:val="00476D15"/>
    <w:rsid w:val="00477121"/>
    <w:rsid w:val="00487A59"/>
    <w:rsid w:val="00496856"/>
    <w:rsid w:val="00497D76"/>
    <w:rsid w:val="004A4EC0"/>
    <w:rsid w:val="004A6F87"/>
    <w:rsid w:val="004B4BA3"/>
    <w:rsid w:val="004B4DA2"/>
    <w:rsid w:val="004C6CF0"/>
    <w:rsid w:val="004D2D47"/>
    <w:rsid w:val="004D6488"/>
    <w:rsid w:val="004E5E22"/>
    <w:rsid w:val="004F01E4"/>
    <w:rsid w:val="004F55D5"/>
    <w:rsid w:val="00506B58"/>
    <w:rsid w:val="00506CBE"/>
    <w:rsid w:val="00506EB4"/>
    <w:rsid w:val="00514917"/>
    <w:rsid w:val="005201EE"/>
    <w:rsid w:val="00536F13"/>
    <w:rsid w:val="00537FBB"/>
    <w:rsid w:val="0055227D"/>
    <w:rsid w:val="005601F3"/>
    <w:rsid w:val="00560612"/>
    <w:rsid w:val="00563F71"/>
    <w:rsid w:val="00564F66"/>
    <w:rsid w:val="00565E20"/>
    <w:rsid w:val="005673B6"/>
    <w:rsid w:val="005727A1"/>
    <w:rsid w:val="005754FF"/>
    <w:rsid w:val="00576AE6"/>
    <w:rsid w:val="00576EE5"/>
    <w:rsid w:val="00577E1B"/>
    <w:rsid w:val="005806D5"/>
    <w:rsid w:val="005852A4"/>
    <w:rsid w:val="00586C2B"/>
    <w:rsid w:val="0059258E"/>
    <w:rsid w:val="005A2122"/>
    <w:rsid w:val="005B2DAE"/>
    <w:rsid w:val="005B74B1"/>
    <w:rsid w:val="005C33B4"/>
    <w:rsid w:val="005C3AEB"/>
    <w:rsid w:val="005E0589"/>
    <w:rsid w:val="005E2403"/>
    <w:rsid w:val="005E3F23"/>
    <w:rsid w:val="005E4E0D"/>
    <w:rsid w:val="005E5C81"/>
    <w:rsid w:val="005F45A3"/>
    <w:rsid w:val="00607B50"/>
    <w:rsid w:val="00611AF8"/>
    <w:rsid w:val="00613055"/>
    <w:rsid w:val="006271B5"/>
    <w:rsid w:val="00627672"/>
    <w:rsid w:val="0064410E"/>
    <w:rsid w:val="0064603B"/>
    <w:rsid w:val="00653AA5"/>
    <w:rsid w:val="00657679"/>
    <w:rsid w:val="006612A0"/>
    <w:rsid w:val="006645D3"/>
    <w:rsid w:val="006677B2"/>
    <w:rsid w:val="006715C6"/>
    <w:rsid w:val="006749BD"/>
    <w:rsid w:val="00685C69"/>
    <w:rsid w:val="006A7823"/>
    <w:rsid w:val="006B115B"/>
    <w:rsid w:val="006B2C76"/>
    <w:rsid w:val="006C0961"/>
    <w:rsid w:val="006C0C91"/>
    <w:rsid w:val="006C3A2C"/>
    <w:rsid w:val="006D16A4"/>
    <w:rsid w:val="006D4E92"/>
    <w:rsid w:val="006E098B"/>
    <w:rsid w:val="006F0F0D"/>
    <w:rsid w:val="00700026"/>
    <w:rsid w:val="00703D4E"/>
    <w:rsid w:val="00705FFC"/>
    <w:rsid w:val="007061A8"/>
    <w:rsid w:val="0070718D"/>
    <w:rsid w:val="007138D2"/>
    <w:rsid w:val="00723EE9"/>
    <w:rsid w:val="00727ED2"/>
    <w:rsid w:val="007316C8"/>
    <w:rsid w:val="0073586B"/>
    <w:rsid w:val="00743F74"/>
    <w:rsid w:val="007524C0"/>
    <w:rsid w:val="0076427E"/>
    <w:rsid w:val="00774F5C"/>
    <w:rsid w:val="0078565D"/>
    <w:rsid w:val="00791648"/>
    <w:rsid w:val="007A29F5"/>
    <w:rsid w:val="007A4A63"/>
    <w:rsid w:val="007A51B0"/>
    <w:rsid w:val="007B5F61"/>
    <w:rsid w:val="007C2840"/>
    <w:rsid w:val="007D1B4F"/>
    <w:rsid w:val="007D4C2C"/>
    <w:rsid w:val="007E2639"/>
    <w:rsid w:val="007E4E92"/>
    <w:rsid w:val="007F02CC"/>
    <w:rsid w:val="007F0E12"/>
    <w:rsid w:val="007F3816"/>
    <w:rsid w:val="007F59FA"/>
    <w:rsid w:val="0080312C"/>
    <w:rsid w:val="0080369A"/>
    <w:rsid w:val="00814426"/>
    <w:rsid w:val="008422CE"/>
    <w:rsid w:val="00843E93"/>
    <w:rsid w:val="00851309"/>
    <w:rsid w:val="00857E1A"/>
    <w:rsid w:val="00860836"/>
    <w:rsid w:val="008664CA"/>
    <w:rsid w:val="00874D07"/>
    <w:rsid w:val="00880A64"/>
    <w:rsid w:val="0089571C"/>
    <w:rsid w:val="008960A5"/>
    <w:rsid w:val="008C0340"/>
    <w:rsid w:val="008C260E"/>
    <w:rsid w:val="008C33FD"/>
    <w:rsid w:val="008C7F9A"/>
    <w:rsid w:val="008D3E5C"/>
    <w:rsid w:val="008E5FD0"/>
    <w:rsid w:val="008F0B53"/>
    <w:rsid w:val="008F51D6"/>
    <w:rsid w:val="00900503"/>
    <w:rsid w:val="00901EAB"/>
    <w:rsid w:val="00903B36"/>
    <w:rsid w:val="00907DAE"/>
    <w:rsid w:val="00910615"/>
    <w:rsid w:val="009138D0"/>
    <w:rsid w:val="0091760B"/>
    <w:rsid w:val="0092323C"/>
    <w:rsid w:val="00927C71"/>
    <w:rsid w:val="009434A4"/>
    <w:rsid w:val="00945CCF"/>
    <w:rsid w:val="00950778"/>
    <w:rsid w:val="0095382E"/>
    <w:rsid w:val="00955D84"/>
    <w:rsid w:val="0095681C"/>
    <w:rsid w:val="00973FE9"/>
    <w:rsid w:val="009771E5"/>
    <w:rsid w:val="00982228"/>
    <w:rsid w:val="00990DE3"/>
    <w:rsid w:val="009A0ACF"/>
    <w:rsid w:val="009B4CC1"/>
    <w:rsid w:val="009B6AAF"/>
    <w:rsid w:val="009C0B72"/>
    <w:rsid w:val="009C7D7E"/>
    <w:rsid w:val="009D4D19"/>
    <w:rsid w:val="009E7066"/>
    <w:rsid w:val="00A06B0D"/>
    <w:rsid w:val="00A07351"/>
    <w:rsid w:val="00A12CFA"/>
    <w:rsid w:val="00A15B7E"/>
    <w:rsid w:val="00A17DC0"/>
    <w:rsid w:val="00A33C7B"/>
    <w:rsid w:val="00A43AE1"/>
    <w:rsid w:val="00A4492A"/>
    <w:rsid w:val="00A550C9"/>
    <w:rsid w:val="00A6280E"/>
    <w:rsid w:val="00A825E2"/>
    <w:rsid w:val="00A96523"/>
    <w:rsid w:val="00A971A3"/>
    <w:rsid w:val="00AA4AD7"/>
    <w:rsid w:val="00AB20CC"/>
    <w:rsid w:val="00AB472A"/>
    <w:rsid w:val="00AC418A"/>
    <w:rsid w:val="00AF055B"/>
    <w:rsid w:val="00AF7682"/>
    <w:rsid w:val="00B14500"/>
    <w:rsid w:val="00B17E10"/>
    <w:rsid w:val="00B21616"/>
    <w:rsid w:val="00B23388"/>
    <w:rsid w:val="00B237C5"/>
    <w:rsid w:val="00B31AA2"/>
    <w:rsid w:val="00B36F61"/>
    <w:rsid w:val="00B425CB"/>
    <w:rsid w:val="00B43EB4"/>
    <w:rsid w:val="00B50354"/>
    <w:rsid w:val="00B5157A"/>
    <w:rsid w:val="00B544F4"/>
    <w:rsid w:val="00B55FE3"/>
    <w:rsid w:val="00B600B7"/>
    <w:rsid w:val="00B64657"/>
    <w:rsid w:val="00B67DF2"/>
    <w:rsid w:val="00B716C0"/>
    <w:rsid w:val="00B73068"/>
    <w:rsid w:val="00B93DA1"/>
    <w:rsid w:val="00BA2397"/>
    <w:rsid w:val="00BA2698"/>
    <w:rsid w:val="00BA4294"/>
    <w:rsid w:val="00BB26DB"/>
    <w:rsid w:val="00BB624E"/>
    <w:rsid w:val="00BC00C0"/>
    <w:rsid w:val="00BC2285"/>
    <w:rsid w:val="00BC575E"/>
    <w:rsid w:val="00BE0560"/>
    <w:rsid w:val="00BE10DE"/>
    <w:rsid w:val="00C002F3"/>
    <w:rsid w:val="00C03C46"/>
    <w:rsid w:val="00C07123"/>
    <w:rsid w:val="00C111AE"/>
    <w:rsid w:val="00C138DB"/>
    <w:rsid w:val="00C14D2F"/>
    <w:rsid w:val="00C237CF"/>
    <w:rsid w:val="00C247DF"/>
    <w:rsid w:val="00C25C76"/>
    <w:rsid w:val="00C26891"/>
    <w:rsid w:val="00C34C2E"/>
    <w:rsid w:val="00C4273B"/>
    <w:rsid w:val="00C43FFD"/>
    <w:rsid w:val="00C50C30"/>
    <w:rsid w:val="00C57E68"/>
    <w:rsid w:val="00C623FC"/>
    <w:rsid w:val="00C73087"/>
    <w:rsid w:val="00C82A47"/>
    <w:rsid w:val="00C85026"/>
    <w:rsid w:val="00C9060C"/>
    <w:rsid w:val="00C92B16"/>
    <w:rsid w:val="00CA698D"/>
    <w:rsid w:val="00CB21C3"/>
    <w:rsid w:val="00CB2C73"/>
    <w:rsid w:val="00CC2F52"/>
    <w:rsid w:val="00CD0C15"/>
    <w:rsid w:val="00CD5D4F"/>
    <w:rsid w:val="00CE4EE0"/>
    <w:rsid w:val="00CE52E6"/>
    <w:rsid w:val="00CE6E46"/>
    <w:rsid w:val="00D17B28"/>
    <w:rsid w:val="00D221A3"/>
    <w:rsid w:val="00D231E2"/>
    <w:rsid w:val="00D25F09"/>
    <w:rsid w:val="00D27173"/>
    <w:rsid w:val="00D37C75"/>
    <w:rsid w:val="00D422C9"/>
    <w:rsid w:val="00D42928"/>
    <w:rsid w:val="00D4507A"/>
    <w:rsid w:val="00D47BF7"/>
    <w:rsid w:val="00D6070A"/>
    <w:rsid w:val="00D85157"/>
    <w:rsid w:val="00D86930"/>
    <w:rsid w:val="00DC782F"/>
    <w:rsid w:val="00DE4E3D"/>
    <w:rsid w:val="00DF1225"/>
    <w:rsid w:val="00DF1B66"/>
    <w:rsid w:val="00E00B79"/>
    <w:rsid w:val="00E04A98"/>
    <w:rsid w:val="00E2242A"/>
    <w:rsid w:val="00E270BA"/>
    <w:rsid w:val="00E4384C"/>
    <w:rsid w:val="00E45793"/>
    <w:rsid w:val="00E70708"/>
    <w:rsid w:val="00E744FE"/>
    <w:rsid w:val="00E75AA8"/>
    <w:rsid w:val="00E77D73"/>
    <w:rsid w:val="00E86A7C"/>
    <w:rsid w:val="00E90DDB"/>
    <w:rsid w:val="00E910B6"/>
    <w:rsid w:val="00E960DE"/>
    <w:rsid w:val="00E97CDB"/>
    <w:rsid w:val="00EA38D5"/>
    <w:rsid w:val="00EA3D64"/>
    <w:rsid w:val="00EA48F9"/>
    <w:rsid w:val="00EB641F"/>
    <w:rsid w:val="00ED34CB"/>
    <w:rsid w:val="00ED49AA"/>
    <w:rsid w:val="00ED705F"/>
    <w:rsid w:val="00ED7ADF"/>
    <w:rsid w:val="00EE7B41"/>
    <w:rsid w:val="00F01960"/>
    <w:rsid w:val="00F11445"/>
    <w:rsid w:val="00F1702F"/>
    <w:rsid w:val="00F22D9E"/>
    <w:rsid w:val="00F27455"/>
    <w:rsid w:val="00F40E2D"/>
    <w:rsid w:val="00F4131F"/>
    <w:rsid w:val="00F41DA3"/>
    <w:rsid w:val="00F47F21"/>
    <w:rsid w:val="00F5073F"/>
    <w:rsid w:val="00F56FD8"/>
    <w:rsid w:val="00F60654"/>
    <w:rsid w:val="00F63346"/>
    <w:rsid w:val="00F81C9D"/>
    <w:rsid w:val="00F84B7C"/>
    <w:rsid w:val="00FA0A5B"/>
    <w:rsid w:val="00FA2CD8"/>
    <w:rsid w:val="00FA3F74"/>
    <w:rsid w:val="00FB09DE"/>
    <w:rsid w:val="00FC0072"/>
    <w:rsid w:val="00FC43AF"/>
    <w:rsid w:val="00FD7D79"/>
    <w:rsid w:val="00FE1D6A"/>
    <w:rsid w:val="00FE4092"/>
    <w:rsid w:val="00FF0723"/>
    <w:rsid w:val="00FF2625"/>
    <w:rsid w:val="00FF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48"/>
  </w:style>
  <w:style w:type="paragraph" w:styleId="Heading1">
    <w:name w:val="heading 1"/>
    <w:basedOn w:val="Normal"/>
    <w:next w:val="Normal"/>
    <w:link w:val="Heading1Char"/>
    <w:uiPriority w:val="9"/>
    <w:qFormat/>
    <w:rsid w:val="00506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60DE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60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960DE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60D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960DE"/>
    <w:rPr>
      <w:color w:val="0053D1"/>
      <w:u w:val="single"/>
    </w:rPr>
  </w:style>
  <w:style w:type="paragraph" w:styleId="ListParagraph">
    <w:name w:val="List Paragraph"/>
    <w:basedOn w:val="Normal"/>
    <w:uiPriority w:val="34"/>
    <w:qFormat/>
    <w:rsid w:val="00E960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txxsmall1">
    <w:name w:val="actxxsmall1"/>
    <w:basedOn w:val="DefaultParagraphFont"/>
    <w:rsid w:val="00E960DE"/>
    <w:rPr>
      <w:color w:val="000000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6E09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xsmall1">
    <w:name w:val="actxsmall1"/>
    <w:basedOn w:val="DefaultParagraphFont"/>
    <w:rsid w:val="002A4076"/>
    <w:rPr>
      <w:color w:val="000000"/>
      <w:sz w:val="20"/>
      <w:szCs w:val="20"/>
    </w:rPr>
  </w:style>
  <w:style w:type="paragraph" w:customStyle="1" w:styleId="deftext">
    <w:name w:val="deftext"/>
    <w:basedOn w:val="Normal"/>
    <w:rsid w:val="00ED705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ED705F"/>
    <w:rPr>
      <w:b/>
      <w:bCs/>
    </w:rPr>
  </w:style>
  <w:style w:type="character" w:customStyle="1" w:styleId="hit">
    <w:name w:val="hit"/>
    <w:basedOn w:val="DefaultParagraphFont"/>
    <w:rsid w:val="00FF3D24"/>
  </w:style>
  <w:style w:type="paragraph" w:styleId="HTMLAddress">
    <w:name w:val="HTML Address"/>
    <w:basedOn w:val="Normal"/>
    <w:link w:val="HTMLAddressChar"/>
    <w:uiPriority w:val="99"/>
    <w:unhideWhenUsed/>
    <w:rsid w:val="00D4507A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D4507A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646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pageheader">
    <w:name w:val="productpageheader"/>
    <w:basedOn w:val="DefaultParagraphFont"/>
    <w:rsid w:val="000036F0"/>
  </w:style>
  <w:style w:type="character" w:customStyle="1" w:styleId="productpagesubhead">
    <w:name w:val="productpagesubhead"/>
    <w:basedOn w:val="DefaultParagraphFont"/>
    <w:rsid w:val="000036F0"/>
  </w:style>
  <w:style w:type="paragraph" w:customStyle="1" w:styleId="productpagetext">
    <w:name w:val="productpagetext"/>
    <w:basedOn w:val="Normal"/>
    <w:rsid w:val="001713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17FF-5467-4A62-AB9B-1D5ED96E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Gentaur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</dc:creator>
  <cp:keywords/>
  <dc:description/>
  <cp:lastModifiedBy>labo</cp:lastModifiedBy>
  <cp:revision>11</cp:revision>
  <cp:lastPrinted>2008-08-08T10:02:00Z</cp:lastPrinted>
  <dcterms:created xsi:type="dcterms:W3CDTF">2008-08-27T15:29:00Z</dcterms:created>
  <dcterms:modified xsi:type="dcterms:W3CDTF">2008-09-18T15:46:00Z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1858969768</vt:i4>
  </property>
</Properties>
</file>